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DABE6" w14:textId="77777777" w:rsidR="00D96F83" w:rsidRPr="007144D0" w:rsidRDefault="00D96F83" w:rsidP="00D96F8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144D0">
        <w:rPr>
          <w:rFonts w:ascii="Arial" w:eastAsia="Times New Roman" w:hAnsi="Arial" w:cs="Arial"/>
          <w:sz w:val="20"/>
          <w:szCs w:val="20"/>
          <w:lang w:eastAsia="en-GB"/>
        </w:rPr>
        <w:t xml:space="preserve">LEI: </w:t>
      </w:r>
      <w:r w:rsidRPr="007144D0">
        <w:rPr>
          <w:rFonts w:ascii="Arial" w:hAnsi="Arial" w:cs="Arial"/>
          <w:color w:val="0D0D0D"/>
          <w:sz w:val="20"/>
          <w:szCs w:val="20"/>
        </w:rPr>
        <w:t>213800OTQ44T555I8S71</w:t>
      </w:r>
    </w:p>
    <w:p w14:paraId="7C68460E" w14:textId="77777777" w:rsidR="00625F50" w:rsidRPr="007144D0" w:rsidRDefault="00625F50" w:rsidP="00E23DCE">
      <w:pPr>
        <w:pStyle w:val="Title"/>
        <w:jc w:val="left"/>
        <w:rPr>
          <w:rFonts w:ascii="Arial" w:hAnsi="Arial" w:cs="Arial"/>
          <w:b/>
          <w:sz w:val="20"/>
        </w:rPr>
      </w:pPr>
    </w:p>
    <w:p w14:paraId="47548D6F" w14:textId="7C068E25" w:rsidR="00E23DCE" w:rsidRPr="00543BF0" w:rsidRDefault="00820AEA" w:rsidP="00982071">
      <w:pPr>
        <w:pStyle w:val="Title"/>
        <w:jc w:val="lef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1</w:t>
      </w:r>
      <w:r w:rsidR="00BD5285">
        <w:rPr>
          <w:rFonts w:ascii="Arial" w:hAnsi="Arial" w:cs="Arial"/>
          <w:bCs/>
          <w:sz w:val="20"/>
        </w:rPr>
        <w:t>7</w:t>
      </w:r>
      <w:r w:rsidR="00E861C4" w:rsidRPr="00543BF0">
        <w:rPr>
          <w:rFonts w:ascii="Arial" w:hAnsi="Arial" w:cs="Arial"/>
          <w:bCs/>
          <w:sz w:val="20"/>
        </w:rPr>
        <w:t xml:space="preserve"> September</w:t>
      </w:r>
      <w:r w:rsidR="00BC1875" w:rsidRPr="00543BF0">
        <w:rPr>
          <w:rFonts w:ascii="Arial" w:hAnsi="Arial" w:cs="Arial"/>
          <w:bCs/>
          <w:sz w:val="20"/>
        </w:rPr>
        <w:t xml:space="preserve"> 20</w:t>
      </w:r>
      <w:r w:rsidR="00C07189" w:rsidRPr="00543BF0">
        <w:rPr>
          <w:rFonts w:ascii="Arial" w:hAnsi="Arial" w:cs="Arial"/>
          <w:bCs/>
          <w:sz w:val="20"/>
        </w:rPr>
        <w:t>2</w:t>
      </w:r>
      <w:r w:rsidR="00BD5285">
        <w:rPr>
          <w:rFonts w:ascii="Arial" w:hAnsi="Arial" w:cs="Arial"/>
          <w:bCs/>
          <w:sz w:val="20"/>
        </w:rPr>
        <w:t>5</w:t>
      </w:r>
    </w:p>
    <w:p w14:paraId="11C2A907" w14:textId="77777777" w:rsidR="00625F50" w:rsidRPr="007144D0" w:rsidRDefault="00625F50" w:rsidP="00982071">
      <w:pPr>
        <w:pStyle w:val="Title"/>
        <w:rPr>
          <w:rFonts w:ascii="Arial" w:hAnsi="Arial" w:cs="Arial"/>
          <w:b/>
          <w:sz w:val="20"/>
        </w:rPr>
      </w:pPr>
    </w:p>
    <w:p w14:paraId="73DB32E1" w14:textId="77777777" w:rsidR="00625F50" w:rsidRPr="007144D0" w:rsidRDefault="00625F50" w:rsidP="00625F5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144D0">
        <w:rPr>
          <w:rFonts w:ascii="Arial" w:hAnsi="Arial" w:cs="Arial"/>
          <w:b/>
          <w:sz w:val="20"/>
          <w:szCs w:val="20"/>
        </w:rPr>
        <w:t xml:space="preserve">Augmentum Fintech </w:t>
      </w:r>
      <w:r w:rsidR="00A918CD" w:rsidRPr="007144D0">
        <w:rPr>
          <w:rFonts w:ascii="Arial" w:hAnsi="Arial" w:cs="Arial"/>
          <w:b/>
          <w:sz w:val="20"/>
          <w:szCs w:val="20"/>
        </w:rPr>
        <w:t>plc</w:t>
      </w:r>
    </w:p>
    <w:p w14:paraId="3B3BCA90" w14:textId="77777777" w:rsidR="00625F50" w:rsidRPr="007144D0" w:rsidRDefault="00625F50" w:rsidP="00625F5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144D0">
        <w:rPr>
          <w:rFonts w:ascii="Arial" w:hAnsi="Arial" w:cs="Arial"/>
          <w:b/>
          <w:sz w:val="20"/>
          <w:szCs w:val="20"/>
        </w:rPr>
        <w:t>(the ‘Company’)</w:t>
      </w:r>
    </w:p>
    <w:p w14:paraId="7FD6D4A5" w14:textId="5C4E7F60" w:rsidR="00543BF0" w:rsidRPr="00D14168" w:rsidRDefault="00625F50" w:rsidP="00543BF0">
      <w:pPr>
        <w:tabs>
          <w:tab w:val="left" w:pos="1440"/>
        </w:tabs>
        <w:jc w:val="center"/>
        <w:rPr>
          <w:rFonts w:ascii="Arial" w:hAnsi="Arial" w:cs="Arial"/>
          <w:b/>
          <w:sz w:val="20"/>
          <w:szCs w:val="20"/>
        </w:rPr>
      </w:pPr>
      <w:r w:rsidRPr="007144D0">
        <w:rPr>
          <w:rFonts w:ascii="Arial" w:hAnsi="Arial" w:cs="Arial"/>
          <w:b/>
          <w:sz w:val="20"/>
          <w:szCs w:val="20"/>
        </w:rPr>
        <w:br/>
      </w:r>
      <w:r w:rsidR="008132C9" w:rsidRPr="007144D0">
        <w:rPr>
          <w:rFonts w:ascii="Arial" w:hAnsi="Arial" w:cs="Arial"/>
          <w:b/>
          <w:sz w:val="20"/>
          <w:szCs w:val="20"/>
        </w:rPr>
        <w:t xml:space="preserve">Result of </w:t>
      </w:r>
      <w:r w:rsidR="00E75887">
        <w:rPr>
          <w:rFonts w:ascii="Arial" w:hAnsi="Arial" w:cs="Arial"/>
          <w:b/>
          <w:sz w:val="20"/>
          <w:szCs w:val="20"/>
        </w:rPr>
        <w:t xml:space="preserve">Annual </w:t>
      </w:r>
      <w:r w:rsidR="008132C9" w:rsidRPr="007144D0">
        <w:rPr>
          <w:rFonts w:ascii="Arial" w:hAnsi="Arial" w:cs="Arial"/>
          <w:b/>
          <w:sz w:val="20"/>
          <w:szCs w:val="20"/>
        </w:rPr>
        <w:t>General Meeting</w:t>
      </w:r>
    </w:p>
    <w:p w14:paraId="6FA8B214" w14:textId="4BBF6359" w:rsidR="00982071" w:rsidRPr="00D14168" w:rsidRDefault="00982071" w:rsidP="00982071">
      <w:pPr>
        <w:kinsoku w:val="0"/>
        <w:overflowPunct w:val="0"/>
        <w:autoSpaceDE w:val="0"/>
        <w:autoSpaceDN w:val="0"/>
        <w:adjustRightInd w:val="0"/>
        <w:spacing w:after="0" w:line="221" w:lineRule="exact"/>
        <w:ind w:left="39"/>
        <w:jc w:val="both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>At t</w:t>
      </w:r>
      <w:r w:rsidR="00D14168" w:rsidRPr="00D14168">
        <w:rPr>
          <w:rFonts w:ascii="Arial" w:hAnsi="Arial" w:cs="Arial"/>
          <w:sz w:val="20"/>
          <w:szCs w:val="20"/>
          <w:lang w:eastAsia="en-GB"/>
        </w:rPr>
        <w:t xml:space="preserve">he Augmentum Fintech plc </w:t>
      </w:r>
      <w:r w:rsidR="00D14168" w:rsidRPr="00D14168">
        <w:rPr>
          <w:rFonts w:ascii="Arial" w:hAnsi="Arial" w:cs="Arial"/>
          <w:spacing w:val="-3"/>
          <w:sz w:val="20"/>
          <w:szCs w:val="20"/>
          <w:lang w:eastAsia="en-GB"/>
        </w:rPr>
        <w:t xml:space="preserve">Annual </w:t>
      </w:r>
      <w:r w:rsidR="00D14168" w:rsidRPr="00D14168">
        <w:rPr>
          <w:rFonts w:ascii="Arial" w:hAnsi="Arial" w:cs="Arial"/>
          <w:sz w:val="20"/>
          <w:szCs w:val="20"/>
          <w:lang w:eastAsia="en-GB"/>
        </w:rPr>
        <w:t xml:space="preserve">General Meeting </w:t>
      </w:r>
      <w:r w:rsidR="00D14168" w:rsidRPr="00D14168">
        <w:rPr>
          <w:rFonts w:ascii="Arial" w:hAnsi="Arial" w:cs="Arial"/>
          <w:spacing w:val="-3"/>
          <w:sz w:val="20"/>
          <w:szCs w:val="20"/>
          <w:lang w:eastAsia="en-GB"/>
        </w:rPr>
        <w:t xml:space="preserve">held </w:t>
      </w:r>
      <w:r w:rsidR="00D14168" w:rsidRPr="00D14168">
        <w:rPr>
          <w:rFonts w:ascii="Arial" w:hAnsi="Arial" w:cs="Arial"/>
          <w:sz w:val="20"/>
          <w:szCs w:val="20"/>
          <w:lang w:eastAsia="en-GB"/>
        </w:rPr>
        <w:t>earlier today</w:t>
      </w:r>
      <w:r w:rsidRPr="00982071">
        <w:rPr>
          <w:rFonts w:ascii="Arial" w:hAnsi="Arial" w:cs="Arial"/>
          <w:spacing w:val="-3"/>
          <w:sz w:val="20"/>
          <w:szCs w:val="20"/>
          <w:lang w:eastAsia="en-GB"/>
        </w:rPr>
        <w:t xml:space="preserve"> </w:t>
      </w:r>
      <w:r w:rsidRPr="00B1045B">
        <w:rPr>
          <w:rFonts w:ascii="Arial" w:hAnsi="Arial" w:cs="Arial"/>
          <w:spacing w:val="-3"/>
          <w:sz w:val="20"/>
          <w:szCs w:val="20"/>
          <w:lang w:eastAsia="en-GB"/>
        </w:rPr>
        <w:t>all of the resolutions were decided by poll and all were passed</w:t>
      </w:r>
      <w:r w:rsidRPr="00B1045B">
        <w:rPr>
          <w:rFonts w:ascii="Arial" w:hAnsi="Arial" w:cs="Arial"/>
          <w:sz w:val="20"/>
          <w:szCs w:val="20"/>
          <w:lang w:eastAsia="en-GB"/>
        </w:rPr>
        <w:t>.</w:t>
      </w:r>
      <w:r w:rsidR="00401451">
        <w:rPr>
          <w:rFonts w:ascii="Arial" w:hAnsi="Arial" w:cs="Arial"/>
          <w:sz w:val="20"/>
          <w:szCs w:val="20"/>
          <w:lang w:eastAsia="en-GB"/>
        </w:rPr>
        <w:t xml:space="preserve"> </w:t>
      </w:r>
      <w:r w:rsidRPr="00B1045B">
        <w:rPr>
          <w:rFonts w:ascii="Arial" w:hAnsi="Arial" w:cs="Arial"/>
          <w:sz w:val="20"/>
          <w:szCs w:val="20"/>
          <w:lang w:eastAsia="en-GB"/>
        </w:rPr>
        <w:t xml:space="preserve">The results </w:t>
      </w:r>
      <w:r w:rsidRPr="00B1045B">
        <w:rPr>
          <w:rFonts w:ascii="Arial" w:hAnsi="Arial" w:cs="Arial"/>
          <w:spacing w:val="-4"/>
          <w:sz w:val="20"/>
          <w:szCs w:val="20"/>
          <w:lang w:eastAsia="en-GB"/>
        </w:rPr>
        <w:t xml:space="preserve">of </w:t>
      </w:r>
      <w:r w:rsidRPr="00B1045B">
        <w:rPr>
          <w:rFonts w:ascii="Arial" w:hAnsi="Arial" w:cs="Arial"/>
          <w:sz w:val="20"/>
          <w:szCs w:val="20"/>
          <w:lang w:eastAsia="en-GB"/>
        </w:rPr>
        <w:t xml:space="preserve">the </w:t>
      </w:r>
      <w:r w:rsidRPr="00B1045B">
        <w:rPr>
          <w:rFonts w:ascii="Arial" w:hAnsi="Arial" w:cs="Arial"/>
          <w:spacing w:val="-5"/>
          <w:sz w:val="20"/>
          <w:szCs w:val="20"/>
          <w:lang w:eastAsia="en-GB"/>
        </w:rPr>
        <w:t xml:space="preserve">poll </w:t>
      </w:r>
      <w:r w:rsidRPr="00B1045B">
        <w:rPr>
          <w:rFonts w:ascii="Arial" w:hAnsi="Arial" w:cs="Arial"/>
          <w:sz w:val="20"/>
          <w:szCs w:val="20"/>
          <w:lang w:eastAsia="en-GB"/>
        </w:rPr>
        <w:t xml:space="preserve">are </w:t>
      </w:r>
      <w:r w:rsidRPr="00B1045B">
        <w:rPr>
          <w:rFonts w:ascii="Arial" w:hAnsi="Arial" w:cs="Arial"/>
          <w:spacing w:val="-3"/>
          <w:sz w:val="20"/>
          <w:szCs w:val="20"/>
          <w:lang w:eastAsia="en-GB"/>
        </w:rPr>
        <w:t xml:space="preserve">set </w:t>
      </w:r>
      <w:r w:rsidRPr="00B1045B">
        <w:rPr>
          <w:rFonts w:ascii="Arial" w:hAnsi="Arial" w:cs="Arial"/>
          <w:spacing w:val="-5"/>
          <w:sz w:val="20"/>
          <w:szCs w:val="20"/>
          <w:lang w:eastAsia="en-GB"/>
        </w:rPr>
        <w:t xml:space="preserve">out </w:t>
      </w:r>
      <w:r w:rsidRPr="00B1045B">
        <w:rPr>
          <w:rFonts w:ascii="Arial" w:hAnsi="Arial" w:cs="Arial"/>
          <w:spacing w:val="-3"/>
          <w:sz w:val="20"/>
          <w:szCs w:val="20"/>
          <w:lang w:eastAsia="en-GB"/>
        </w:rPr>
        <w:t xml:space="preserve">below.  </w:t>
      </w:r>
    </w:p>
    <w:p w14:paraId="35C49816" w14:textId="77777777" w:rsidR="00E861C4" w:rsidRPr="00D14168" w:rsidRDefault="00E861C4" w:rsidP="00982071">
      <w:pPr>
        <w:kinsoku w:val="0"/>
        <w:overflowPunct w:val="0"/>
        <w:autoSpaceDE w:val="0"/>
        <w:autoSpaceDN w:val="0"/>
        <w:adjustRightInd w:val="0"/>
        <w:spacing w:after="0" w:line="221" w:lineRule="exact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1276"/>
        <w:gridCol w:w="992"/>
        <w:gridCol w:w="1243"/>
        <w:gridCol w:w="992"/>
        <w:gridCol w:w="1276"/>
        <w:gridCol w:w="1275"/>
      </w:tblGrid>
      <w:tr w:rsidR="00E75887" w:rsidRPr="00D14168" w14:paraId="574E04B8" w14:textId="77777777" w:rsidTr="00982071">
        <w:tc>
          <w:tcPr>
            <w:tcW w:w="3827" w:type="dxa"/>
          </w:tcPr>
          <w:p w14:paraId="520B5058" w14:textId="77777777" w:rsidR="00E861C4" w:rsidRPr="00D14168" w:rsidRDefault="00E861C4" w:rsidP="0050527B">
            <w:pPr>
              <w:tabs>
                <w:tab w:val="left" w:pos="31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14168">
              <w:rPr>
                <w:rFonts w:ascii="Arial" w:eastAsia="Times New Roman" w:hAnsi="Arial" w:cs="Arial"/>
                <w:b/>
                <w:sz w:val="20"/>
                <w:szCs w:val="20"/>
              </w:rPr>
              <w:t>Resolutions</w:t>
            </w:r>
          </w:p>
        </w:tc>
        <w:tc>
          <w:tcPr>
            <w:tcW w:w="1276" w:type="dxa"/>
          </w:tcPr>
          <w:p w14:paraId="17161D55" w14:textId="77777777" w:rsidR="00E861C4" w:rsidRPr="00D14168" w:rsidRDefault="00E861C4" w:rsidP="009820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14168">
              <w:rPr>
                <w:rFonts w:ascii="Arial" w:eastAsia="Times New Roman" w:hAnsi="Arial" w:cs="Arial"/>
                <w:b/>
                <w:sz w:val="20"/>
                <w:szCs w:val="20"/>
              </w:rPr>
              <w:t>Votes</w:t>
            </w:r>
            <w:r w:rsidR="00982071"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 w:rsidRPr="00D14168">
              <w:rPr>
                <w:rFonts w:ascii="Arial" w:eastAsia="Times New Roman" w:hAnsi="Arial" w:cs="Arial"/>
                <w:b/>
                <w:sz w:val="20"/>
                <w:szCs w:val="20"/>
              </w:rPr>
              <w:t>For</w:t>
            </w:r>
          </w:p>
        </w:tc>
        <w:tc>
          <w:tcPr>
            <w:tcW w:w="992" w:type="dxa"/>
          </w:tcPr>
          <w:p w14:paraId="467005CB" w14:textId="77777777" w:rsidR="00E861C4" w:rsidRPr="00D14168" w:rsidRDefault="00982071" w:rsidP="009820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 w:rsidR="00E861C4" w:rsidRPr="00D14168">
              <w:rPr>
                <w:rFonts w:ascii="Arial" w:eastAsia="Times New Roman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1243" w:type="dxa"/>
          </w:tcPr>
          <w:p w14:paraId="529B1443" w14:textId="77777777" w:rsidR="00E861C4" w:rsidRPr="00D14168" w:rsidRDefault="00E861C4" w:rsidP="009820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14168">
              <w:rPr>
                <w:rFonts w:ascii="Arial" w:eastAsia="Times New Roman" w:hAnsi="Arial" w:cs="Arial"/>
                <w:b/>
                <w:sz w:val="20"/>
                <w:szCs w:val="20"/>
              </w:rPr>
              <w:t>Votes</w:t>
            </w:r>
            <w:r w:rsidR="0050527B"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 w:rsidRPr="00D14168">
              <w:rPr>
                <w:rFonts w:ascii="Arial" w:eastAsia="Times New Roman" w:hAnsi="Arial" w:cs="Arial"/>
                <w:b/>
                <w:sz w:val="20"/>
                <w:szCs w:val="20"/>
              </w:rPr>
              <w:t>Against</w:t>
            </w:r>
          </w:p>
        </w:tc>
        <w:tc>
          <w:tcPr>
            <w:tcW w:w="992" w:type="dxa"/>
          </w:tcPr>
          <w:p w14:paraId="22652E2D" w14:textId="77777777" w:rsidR="00E861C4" w:rsidRPr="00D14168" w:rsidRDefault="0050527B" w:rsidP="009820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 w:rsidR="00E861C4" w:rsidRPr="00D14168">
              <w:rPr>
                <w:rFonts w:ascii="Arial" w:eastAsia="Times New Roman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</w:tcPr>
          <w:p w14:paraId="1EA9340A" w14:textId="77777777" w:rsidR="00E861C4" w:rsidRPr="00D14168" w:rsidRDefault="00E861C4" w:rsidP="009820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14168">
              <w:rPr>
                <w:rFonts w:ascii="Arial" w:eastAsia="Times New Roman" w:hAnsi="Arial" w:cs="Arial"/>
                <w:b/>
                <w:sz w:val="20"/>
                <w:szCs w:val="20"/>
              </w:rPr>
              <w:t>Total</w:t>
            </w:r>
            <w:r w:rsidR="0050527B"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 w:rsidRPr="00D14168">
              <w:rPr>
                <w:rFonts w:ascii="Arial" w:eastAsia="Times New Roman" w:hAnsi="Arial" w:cs="Arial"/>
                <w:b/>
                <w:sz w:val="20"/>
                <w:szCs w:val="20"/>
              </w:rPr>
              <w:t>Votes Cast</w:t>
            </w:r>
          </w:p>
        </w:tc>
        <w:tc>
          <w:tcPr>
            <w:tcW w:w="1275" w:type="dxa"/>
          </w:tcPr>
          <w:p w14:paraId="5C3E263E" w14:textId="77777777" w:rsidR="00E861C4" w:rsidRPr="00D14168" w:rsidRDefault="00E861C4" w:rsidP="005052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14168">
              <w:rPr>
                <w:rFonts w:ascii="Arial" w:eastAsia="Times New Roman" w:hAnsi="Arial" w:cs="Arial"/>
                <w:b/>
                <w:sz w:val="20"/>
                <w:szCs w:val="20"/>
              </w:rPr>
              <w:t>Votes</w:t>
            </w:r>
            <w:r w:rsidR="0050527B"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 w:rsidRPr="00D14168">
              <w:rPr>
                <w:rFonts w:ascii="Arial" w:eastAsia="Times New Roman" w:hAnsi="Arial" w:cs="Arial"/>
                <w:b/>
                <w:sz w:val="20"/>
                <w:szCs w:val="20"/>
              </w:rPr>
              <w:t>Withheld</w:t>
            </w:r>
          </w:p>
        </w:tc>
      </w:tr>
      <w:tr w:rsidR="00E75887" w:rsidRPr="007144D0" w14:paraId="70CB9561" w14:textId="77777777" w:rsidTr="00982071">
        <w:tc>
          <w:tcPr>
            <w:tcW w:w="3827" w:type="dxa"/>
          </w:tcPr>
          <w:p w14:paraId="6717EBC5" w14:textId="77777777" w:rsidR="00E861C4" w:rsidRPr="007144D0" w:rsidRDefault="00E861C4" w:rsidP="0050527B">
            <w:pPr>
              <w:tabs>
                <w:tab w:val="left" w:pos="318"/>
              </w:tabs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44D0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Ordinary Resolutions</w:t>
            </w:r>
          </w:p>
        </w:tc>
        <w:tc>
          <w:tcPr>
            <w:tcW w:w="1276" w:type="dxa"/>
          </w:tcPr>
          <w:p w14:paraId="1BBCD81C" w14:textId="77777777" w:rsidR="00E861C4" w:rsidRPr="007144D0" w:rsidRDefault="00E861C4" w:rsidP="00982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BB6118" w14:textId="77777777" w:rsidR="00E861C4" w:rsidRPr="007144D0" w:rsidRDefault="00E861C4" w:rsidP="00982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14:paraId="4D88B507" w14:textId="77777777" w:rsidR="00E861C4" w:rsidRPr="007144D0" w:rsidRDefault="00E861C4" w:rsidP="00982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95A92F" w14:textId="77777777" w:rsidR="00E861C4" w:rsidRPr="007144D0" w:rsidRDefault="00E861C4" w:rsidP="00982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888292B" w14:textId="77777777" w:rsidR="00E861C4" w:rsidRPr="006F5A07" w:rsidRDefault="00E861C4" w:rsidP="00982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AA04031" w14:textId="77777777" w:rsidR="00E861C4" w:rsidRPr="007144D0" w:rsidRDefault="00E861C4" w:rsidP="00982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F5A07" w:rsidRPr="007144D0" w14:paraId="475CDA7C" w14:textId="77777777" w:rsidTr="004D37FA">
        <w:tc>
          <w:tcPr>
            <w:tcW w:w="3827" w:type="dxa"/>
          </w:tcPr>
          <w:p w14:paraId="4D2E9490" w14:textId="0A476025" w:rsidR="006F5A07" w:rsidRPr="00755484" w:rsidRDefault="006F5A07" w:rsidP="006F5A07">
            <w:pPr>
              <w:tabs>
                <w:tab w:val="left" w:pos="318"/>
              </w:tabs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1. </w:t>
            </w:r>
            <w:r w:rsidRPr="00755484">
              <w:rPr>
                <w:rFonts w:ascii="Arial" w:eastAsia="Times New Roman" w:hAnsi="Arial" w:cs="Arial"/>
                <w:sz w:val="20"/>
                <w:szCs w:val="20"/>
              </w:rPr>
              <w:t>To receive the Annual Report and Financial Statements for the year ended 31 March 202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Pr="0075548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F062890" w14:textId="25A28D2B" w:rsidR="006F5A07" w:rsidRPr="009922E0" w:rsidRDefault="006F5A07" w:rsidP="006F5A0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59,147,832</w:t>
            </w:r>
          </w:p>
        </w:tc>
        <w:tc>
          <w:tcPr>
            <w:tcW w:w="992" w:type="dxa"/>
          </w:tcPr>
          <w:p w14:paraId="7A4EE464" w14:textId="2F4DD42C" w:rsidR="006F5A07" w:rsidRPr="009922E0" w:rsidRDefault="006F5A07" w:rsidP="006F5A0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99.90%</w:t>
            </w:r>
          </w:p>
        </w:tc>
        <w:tc>
          <w:tcPr>
            <w:tcW w:w="1243" w:type="dxa"/>
          </w:tcPr>
          <w:p w14:paraId="3F9CC67E" w14:textId="6D223D9B" w:rsidR="006F5A07" w:rsidRPr="009922E0" w:rsidRDefault="006F5A07" w:rsidP="006F5A0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61,118</w:t>
            </w:r>
          </w:p>
        </w:tc>
        <w:tc>
          <w:tcPr>
            <w:tcW w:w="992" w:type="dxa"/>
          </w:tcPr>
          <w:p w14:paraId="7C77947B" w14:textId="7E9DF739" w:rsidR="006F5A07" w:rsidRPr="009922E0" w:rsidRDefault="006F5A07" w:rsidP="006F5A0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0.10%</w:t>
            </w:r>
          </w:p>
        </w:tc>
        <w:tc>
          <w:tcPr>
            <w:tcW w:w="1276" w:type="dxa"/>
          </w:tcPr>
          <w:p w14:paraId="1288222E" w14:textId="1E04E4D7" w:rsidR="006F5A07" w:rsidRPr="009922E0" w:rsidRDefault="006F5A07" w:rsidP="006F5A0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59,208,950</w:t>
            </w:r>
          </w:p>
        </w:tc>
        <w:tc>
          <w:tcPr>
            <w:tcW w:w="1275" w:type="dxa"/>
          </w:tcPr>
          <w:p w14:paraId="0B93FCFB" w14:textId="414DAD77" w:rsidR="006F5A07" w:rsidRPr="009922E0" w:rsidRDefault="006F5A07" w:rsidP="006F5A0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30,062</w:t>
            </w:r>
          </w:p>
        </w:tc>
      </w:tr>
      <w:tr w:rsidR="006F5A07" w:rsidRPr="007144D0" w14:paraId="46A93376" w14:textId="77777777" w:rsidTr="00C136B0">
        <w:tc>
          <w:tcPr>
            <w:tcW w:w="3827" w:type="dxa"/>
          </w:tcPr>
          <w:p w14:paraId="58DDA966" w14:textId="5D4961E0" w:rsidR="006F5A07" w:rsidRPr="00755484" w:rsidRDefault="006F5A07" w:rsidP="006F5A07">
            <w:pPr>
              <w:tabs>
                <w:tab w:val="left" w:pos="318"/>
              </w:tabs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2. </w:t>
            </w:r>
            <w:r w:rsidRPr="00755484">
              <w:rPr>
                <w:rFonts w:ascii="Arial" w:eastAsia="Times New Roman" w:hAnsi="Arial" w:cs="Arial"/>
                <w:sz w:val="20"/>
                <w:szCs w:val="20"/>
              </w:rPr>
              <w:t xml:space="preserve">To elect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William Reeve</w:t>
            </w:r>
            <w:r w:rsidRPr="00755484">
              <w:rPr>
                <w:rFonts w:ascii="Arial" w:eastAsia="Times New Roman" w:hAnsi="Arial" w:cs="Arial"/>
                <w:sz w:val="20"/>
                <w:szCs w:val="20"/>
              </w:rPr>
              <w:t xml:space="preserve"> as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a</w:t>
            </w:r>
            <w:r w:rsidRPr="00755484">
              <w:rPr>
                <w:rFonts w:ascii="Arial" w:eastAsia="Times New Roman" w:hAnsi="Arial" w:cs="Arial"/>
                <w:sz w:val="20"/>
                <w:szCs w:val="20"/>
              </w:rPr>
              <w:t xml:space="preserve"> Director of the Company.</w:t>
            </w:r>
          </w:p>
        </w:tc>
        <w:tc>
          <w:tcPr>
            <w:tcW w:w="1276" w:type="dxa"/>
          </w:tcPr>
          <w:p w14:paraId="4AB89275" w14:textId="0F447CD2" w:rsidR="006F5A07" w:rsidRPr="009922E0" w:rsidRDefault="006F5A07" w:rsidP="006F5A0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58,817,770</w:t>
            </w:r>
          </w:p>
        </w:tc>
        <w:tc>
          <w:tcPr>
            <w:tcW w:w="992" w:type="dxa"/>
          </w:tcPr>
          <w:p w14:paraId="25D77BA1" w14:textId="17716A8C" w:rsidR="006F5A07" w:rsidRPr="009922E0" w:rsidRDefault="006F5A07" w:rsidP="006F5A0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99.44%</w:t>
            </w:r>
          </w:p>
        </w:tc>
        <w:tc>
          <w:tcPr>
            <w:tcW w:w="1243" w:type="dxa"/>
          </w:tcPr>
          <w:p w14:paraId="56AEA342" w14:textId="501E5DCA" w:rsidR="006F5A07" w:rsidRPr="009922E0" w:rsidRDefault="006F5A07" w:rsidP="006F5A0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332,709</w:t>
            </w:r>
          </w:p>
        </w:tc>
        <w:tc>
          <w:tcPr>
            <w:tcW w:w="992" w:type="dxa"/>
          </w:tcPr>
          <w:p w14:paraId="04B9F7AB" w14:textId="74D884DF" w:rsidR="006F5A07" w:rsidRPr="009922E0" w:rsidRDefault="006F5A07" w:rsidP="006F5A0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0.56%</w:t>
            </w:r>
          </w:p>
        </w:tc>
        <w:tc>
          <w:tcPr>
            <w:tcW w:w="1276" w:type="dxa"/>
          </w:tcPr>
          <w:p w14:paraId="6D5F02AE" w14:textId="6F5F0A5A" w:rsidR="006F5A07" w:rsidRPr="009922E0" w:rsidRDefault="006F5A07" w:rsidP="006F5A0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59,150,479</w:t>
            </w:r>
          </w:p>
        </w:tc>
        <w:tc>
          <w:tcPr>
            <w:tcW w:w="1275" w:type="dxa"/>
          </w:tcPr>
          <w:p w14:paraId="70F6C9D0" w14:textId="353B2855" w:rsidR="006F5A07" w:rsidRPr="009922E0" w:rsidRDefault="006F5A07" w:rsidP="006F5A0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88,533</w:t>
            </w:r>
          </w:p>
        </w:tc>
      </w:tr>
      <w:tr w:rsidR="006F5A07" w:rsidRPr="007144D0" w14:paraId="14DB1AA6" w14:textId="77777777" w:rsidTr="004D37FA">
        <w:tc>
          <w:tcPr>
            <w:tcW w:w="3827" w:type="dxa"/>
          </w:tcPr>
          <w:p w14:paraId="5036B4D1" w14:textId="6CB396E7" w:rsidR="006F5A07" w:rsidRPr="00755484" w:rsidRDefault="006F5A07" w:rsidP="006F5A07">
            <w:pPr>
              <w:tabs>
                <w:tab w:val="left" w:pos="318"/>
              </w:tabs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3. </w:t>
            </w:r>
            <w:r w:rsidRPr="00755484">
              <w:rPr>
                <w:rFonts w:ascii="Arial" w:eastAsia="Times New Roman" w:hAnsi="Arial" w:cs="Arial"/>
                <w:sz w:val="20"/>
                <w:szCs w:val="20"/>
              </w:rPr>
              <w:t xml:space="preserve">To re-elect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Karen Brade</w:t>
            </w:r>
            <w:r w:rsidRPr="00755484">
              <w:rPr>
                <w:rFonts w:ascii="Arial" w:eastAsia="Times New Roman" w:hAnsi="Arial" w:cs="Arial"/>
                <w:sz w:val="20"/>
                <w:szCs w:val="20"/>
              </w:rPr>
              <w:t xml:space="preserve"> as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a</w:t>
            </w:r>
            <w:r w:rsidRPr="00755484">
              <w:rPr>
                <w:rFonts w:ascii="Arial" w:eastAsia="Times New Roman" w:hAnsi="Arial" w:cs="Arial"/>
                <w:sz w:val="20"/>
                <w:szCs w:val="20"/>
              </w:rPr>
              <w:t xml:space="preserve"> Director of the Company.</w:t>
            </w:r>
          </w:p>
        </w:tc>
        <w:tc>
          <w:tcPr>
            <w:tcW w:w="1276" w:type="dxa"/>
          </w:tcPr>
          <w:p w14:paraId="5DC393BC" w14:textId="181FF4EE" w:rsidR="006F5A07" w:rsidRPr="009922E0" w:rsidRDefault="006F5A07" w:rsidP="006F5A0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53,623,676</w:t>
            </w:r>
          </w:p>
        </w:tc>
        <w:tc>
          <w:tcPr>
            <w:tcW w:w="992" w:type="dxa"/>
          </w:tcPr>
          <w:p w14:paraId="33077D06" w14:textId="2F19492F" w:rsidR="006F5A07" w:rsidRPr="009922E0" w:rsidRDefault="006F5A07" w:rsidP="006F5A0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90.68%</w:t>
            </w:r>
          </w:p>
        </w:tc>
        <w:tc>
          <w:tcPr>
            <w:tcW w:w="1243" w:type="dxa"/>
          </w:tcPr>
          <w:p w14:paraId="41540DF8" w14:textId="170D368B" w:rsidR="006F5A07" w:rsidRPr="009922E0" w:rsidRDefault="006F5A07" w:rsidP="006F5A0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5,511,494</w:t>
            </w:r>
          </w:p>
        </w:tc>
        <w:tc>
          <w:tcPr>
            <w:tcW w:w="992" w:type="dxa"/>
          </w:tcPr>
          <w:p w14:paraId="50A8C52D" w14:textId="7119C061" w:rsidR="006F5A07" w:rsidRPr="009922E0" w:rsidRDefault="006F5A07" w:rsidP="006F5A0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9.32%</w:t>
            </w:r>
          </w:p>
        </w:tc>
        <w:tc>
          <w:tcPr>
            <w:tcW w:w="1276" w:type="dxa"/>
          </w:tcPr>
          <w:p w14:paraId="75A12044" w14:textId="700F9F26" w:rsidR="006F5A07" w:rsidRPr="009922E0" w:rsidRDefault="006F5A07" w:rsidP="006F5A0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59,135,170</w:t>
            </w:r>
          </w:p>
        </w:tc>
        <w:tc>
          <w:tcPr>
            <w:tcW w:w="1275" w:type="dxa"/>
          </w:tcPr>
          <w:p w14:paraId="415FD780" w14:textId="0E595A0A" w:rsidR="006F5A07" w:rsidRPr="009922E0" w:rsidRDefault="006F5A07" w:rsidP="006F5A0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103,842</w:t>
            </w:r>
          </w:p>
        </w:tc>
      </w:tr>
      <w:tr w:rsidR="006F5A07" w:rsidRPr="0076445A" w14:paraId="39D44597" w14:textId="77777777" w:rsidTr="004D37FA">
        <w:tc>
          <w:tcPr>
            <w:tcW w:w="3827" w:type="dxa"/>
          </w:tcPr>
          <w:p w14:paraId="349A2148" w14:textId="619710CA" w:rsidR="006F5A07" w:rsidRPr="00755484" w:rsidRDefault="006F5A07" w:rsidP="006F5A07">
            <w:pPr>
              <w:tabs>
                <w:tab w:val="left" w:pos="318"/>
              </w:tabs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4. </w:t>
            </w:r>
            <w:r w:rsidRPr="00755484">
              <w:rPr>
                <w:rFonts w:ascii="Arial" w:eastAsia="Times New Roman" w:hAnsi="Arial" w:cs="Arial"/>
                <w:sz w:val="20"/>
                <w:szCs w:val="20"/>
              </w:rPr>
              <w:t xml:space="preserve">To re-elect David Haysey as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 </w:t>
            </w:r>
            <w:r w:rsidRPr="00755484">
              <w:rPr>
                <w:rFonts w:ascii="Arial" w:eastAsia="Times New Roman" w:hAnsi="Arial" w:cs="Arial"/>
                <w:sz w:val="20"/>
                <w:szCs w:val="20"/>
              </w:rPr>
              <w:t>Director of the Company.</w:t>
            </w:r>
          </w:p>
        </w:tc>
        <w:tc>
          <w:tcPr>
            <w:tcW w:w="1276" w:type="dxa"/>
          </w:tcPr>
          <w:p w14:paraId="17FB8BDE" w14:textId="40B6843C" w:rsidR="006F5A07" w:rsidRPr="009922E0" w:rsidRDefault="006F5A07" w:rsidP="006F5A0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57,513,210</w:t>
            </w:r>
          </w:p>
        </w:tc>
        <w:tc>
          <w:tcPr>
            <w:tcW w:w="992" w:type="dxa"/>
          </w:tcPr>
          <w:p w14:paraId="28318CC8" w14:textId="7F54E675" w:rsidR="006F5A07" w:rsidRPr="009922E0" w:rsidRDefault="006F5A07" w:rsidP="006F5A0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97.27%</w:t>
            </w:r>
          </w:p>
        </w:tc>
        <w:tc>
          <w:tcPr>
            <w:tcW w:w="1243" w:type="dxa"/>
          </w:tcPr>
          <w:p w14:paraId="0FF292ED" w14:textId="177ED26A" w:rsidR="006F5A07" w:rsidRPr="009922E0" w:rsidRDefault="006F5A07" w:rsidP="006F5A0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1,613,645</w:t>
            </w:r>
          </w:p>
        </w:tc>
        <w:tc>
          <w:tcPr>
            <w:tcW w:w="992" w:type="dxa"/>
          </w:tcPr>
          <w:p w14:paraId="67FB3F66" w14:textId="184CFE51" w:rsidR="006F5A07" w:rsidRPr="009922E0" w:rsidRDefault="006F5A07" w:rsidP="006F5A0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2.73%</w:t>
            </w:r>
          </w:p>
        </w:tc>
        <w:tc>
          <w:tcPr>
            <w:tcW w:w="1276" w:type="dxa"/>
          </w:tcPr>
          <w:p w14:paraId="2CBC19D3" w14:textId="5C6F04F5" w:rsidR="006F5A07" w:rsidRPr="009922E0" w:rsidRDefault="006F5A07" w:rsidP="006F5A0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59,126,855</w:t>
            </w:r>
          </w:p>
        </w:tc>
        <w:tc>
          <w:tcPr>
            <w:tcW w:w="1275" w:type="dxa"/>
          </w:tcPr>
          <w:p w14:paraId="47379176" w14:textId="6BB2FCDC" w:rsidR="006F5A07" w:rsidRPr="009922E0" w:rsidRDefault="006F5A07" w:rsidP="006F5A0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112,157</w:t>
            </w:r>
          </w:p>
        </w:tc>
      </w:tr>
      <w:tr w:rsidR="006F5A07" w:rsidRPr="0076445A" w14:paraId="1DAC9066" w14:textId="77777777" w:rsidTr="004D37FA">
        <w:tc>
          <w:tcPr>
            <w:tcW w:w="3827" w:type="dxa"/>
          </w:tcPr>
          <w:p w14:paraId="1F7E9703" w14:textId="16A19F06" w:rsidR="006F5A07" w:rsidRPr="00755484" w:rsidRDefault="006F5A07" w:rsidP="006F5A07">
            <w:pPr>
              <w:tabs>
                <w:tab w:val="left" w:pos="318"/>
              </w:tabs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5. </w:t>
            </w:r>
            <w:r w:rsidRPr="00755484">
              <w:rPr>
                <w:rFonts w:ascii="Arial" w:eastAsia="Times New Roman" w:hAnsi="Arial" w:cs="Arial"/>
                <w:sz w:val="20"/>
                <w:szCs w:val="20"/>
              </w:rPr>
              <w:t xml:space="preserve">To re-elect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Conny Dorrestijn</w:t>
            </w:r>
            <w:r w:rsidRPr="00755484">
              <w:rPr>
                <w:rFonts w:ascii="Arial" w:eastAsia="Times New Roman" w:hAnsi="Arial" w:cs="Arial"/>
                <w:sz w:val="20"/>
                <w:szCs w:val="20"/>
              </w:rPr>
              <w:t xml:space="preserve"> as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 </w:t>
            </w:r>
            <w:r w:rsidRPr="00755484">
              <w:rPr>
                <w:rFonts w:ascii="Arial" w:eastAsia="Times New Roman" w:hAnsi="Arial" w:cs="Arial"/>
                <w:sz w:val="20"/>
                <w:szCs w:val="20"/>
              </w:rPr>
              <w:t>Director of Company.</w:t>
            </w:r>
          </w:p>
        </w:tc>
        <w:tc>
          <w:tcPr>
            <w:tcW w:w="1276" w:type="dxa"/>
          </w:tcPr>
          <w:p w14:paraId="567409CF" w14:textId="3B163A02" w:rsidR="006F5A07" w:rsidRPr="009922E0" w:rsidRDefault="006F5A07" w:rsidP="006F5A0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57,472,672</w:t>
            </w:r>
          </w:p>
        </w:tc>
        <w:tc>
          <w:tcPr>
            <w:tcW w:w="992" w:type="dxa"/>
          </w:tcPr>
          <w:p w14:paraId="3CA91B1F" w14:textId="3C568CFD" w:rsidR="006F5A07" w:rsidRPr="009922E0" w:rsidRDefault="006F5A07" w:rsidP="006F5A0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97.14%</w:t>
            </w:r>
          </w:p>
        </w:tc>
        <w:tc>
          <w:tcPr>
            <w:tcW w:w="1243" w:type="dxa"/>
          </w:tcPr>
          <w:p w14:paraId="3E8254B2" w14:textId="733BA4A2" w:rsidR="006F5A07" w:rsidRPr="009922E0" w:rsidRDefault="006F5A07" w:rsidP="006F5A0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1,693,673</w:t>
            </w:r>
          </w:p>
        </w:tc>
        <w:tc>
          <w:tcPr>
            <w:tcW w:w="992" w:type="dxa"/>
          </w:tcPr>
          <w:p w14:paraId="28F801BD" w14:textId="14B59045" w:rsidR="006F5A07" w:rsidRPr="009922E0" w:rsidRDefault="006F5A07" w:rsidP="006F5A0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2.86%</w:t>
            </w:r>
          </w:p>
        </w:tc>
        <w:tc>
          <w:tcPr>
            <w:tcW w:w="1276" w:type="dxa"/>
          </w:tcPr>
          <w:p w14:paraId="4D6777AA" w14:textId="602A9BEB" w:rsidR="006F5A07" w:rsidRPr="009922E0" w:rsidRDefault="006F5A07" w:rsidP="006F5A0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59,166,345</w:t>
            </w:r>
          </w:p>
        </w:tc>
        <w:tc>
          <w:tcPr>
            <w:tcW w:w="1275" w:type="dxa"/>
          </w:tcPr>
          <w:p w14:paraId="1566A3F4" w14:textId="032328A8" w:rsidR="006F5A07" w:rsidRPr="009922E0" w:rsidRDefault="006F5A07" w:rsidP="006F5A0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72,667</w:t>
            </w:r>
          </w:p>
        </w:tc>
      </w:tr>
      <w:tr w:rsidR="006F5A07" w:rsidRPr="0076445A" w14:paraId="0E83F7BA" w14:textId="77777777" w:rsidTr="004D37FA">
        <w:tc>
          <w:tcPr>
            <w:tcW w:w="3827" w:type="dxa"/>
          </w:tcPr>
          <w:p w14:paraId="002C5AD9" w14:textId="2B1E35D4" w:rsidR="006F5A07" w:rsidRDefault="006F5A07" w:rsidP="006F5A07">
            <w:pPr>
              <w:tabs>
                <w:tab w:val="left" w:pos="318"/>
              </w:tabs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6. </w:t>
            </w:r>
            <w:r w:rsidRPr="00755484">
              <w:rPr>
                <w:rFonts w:ascii="Arial" w:eastAsia="Times New Roman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re-</w:t>
            </w:r>
            <w:r w:rsidRPr="00755484">
              <w:rPr>
                <w:rFonts w:ascii="Arial" w:eastAsia="Times New Roman" w:hAnsi="Arial" w:cs="Arial"/>
                <w:sz w:val="20"/>
                <w:szCs w:val="20"/>
              </w:rPr>
              <w:t xml:space="preserve">elect </w:t>
            </w:r>
            <w:r w:rsidRPr="002538F2">
              <w:rPr>
                <w:rFonts w:ascii="Arial" w:eastAsia="Times New Roman" w:hAnsi="Arial" w:cs="Arial"/>
                <w:sz w:val="20"/>
                <w:szCs w:val="20"/>
              </w:rPr>
              <w:t xml:space="preserve">Sir William Russell </w:t>
            </w:r>
            <w:r w:rsidRPr="00755484">
              <w:rPr>
                <w:rFonts w:ascii="Arial" w:eastAsia="Times New Roman" w:hAnsi="Arial" w:cs="Arial"/>
                <w:sz w:val="20"/>
                <w:szCs w:val="20"/>
              </w:rPr>
              <w:t xml:space="preserve">as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 </w:t>
            </w:r>
            <w:r w:rsidRPr="00755484">
              <w:rPr>
                <w:rFonts w:ascii="Arial" w:eastAsia="Times New Roman" w:hAnsi="Arial" w:cs="Arial"/>
                <w:sz w:val="20"/>
                <w:szCs w:val="20"/>
              </w:rPr>
              <w:t>Director of Company.</w:t>
            </w:r>
          </w:p>
        </w:tc>
        <w:tc>
          <w:tcPr>
            <w:tcW w:w="1276" w:type="dxa"/>
          </w:tcPr>
          <w:p w14:paraId="40A5D661" w14:textId="7479F3DD" w:rsidR="006F5A07" w:rsidRPr="009922E0" w:rsidRDefault="006F5A07" w:rsidP="006F5A0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57,520,075</w:t>
            </w:r>
          </w:p>
        </w:tc>
        <w:tc>
          <w:tcPr>
            <w:tcW w:w="992" w:type="dxa"/>
          </w:tcPr>
          <w:p w14:paraId="351E0CC6" w14:textId="3CEDF0AB" w:rsidR="006F5A07" w:rsidRPr="009922E0" w:rsidRDefault="006F5A07" w:rsidP="006F5A0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97.22%</w:t>
            </w:r>
          </w:p>
        </w:tc>
        <w:tc>
          <w:tcPr>
            <w:tcW w:w="1243" w:type="dxa"/>
          </w:tcPr>
          <w:p w14:paraId="5CDCDF5F" w14:textId="5A0C27DF" w:rsidR="006F5A07" w:rsidRPr="009922E0" w:rsidRDefault="006F5A07" w:rsidP="006F5A0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1,647,335</w:t>
            </w:r>
          </w:p>
        </w:tc>
        <w:tc>
          <w:tcPr>
            <w:tcW w:w="992" w:type="dxa"/>
          </w:tcPr>
          <w:p w14:paraId="20721861" w14:textId="1BDD380B" w:rsidR="006F5A07" w:rsidRPr="009922E0" w:rsidRDefault="006F5A07" w:rsidP="006F5A0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2.78%</w:t>
            </w:r>
          </w:p>
        </w:tc>
        <w:tc>
          <w:tcPr>
            <w:tcW w:w="1276" w:type="dxa"/>
          </w:tcPr>
          <w:p w14:paraId="541E050C" w14:textId="3C4982E1" w:rsidR="006F5A07" w:rsidRPr="009922E0" w:rsidRDefault="006F5A07" w:rsidP="006F5A0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59,167,410</w:t>
            </w:r>
          </w:p>
        </w:tc>
        <w:tc>
          <w:tcPr>
            <w:tcW w:w="1275" w:type="dxa"/>
          </w:tcPr>
          <w:p w14:paraId="1EB485F6" w14:textId="576DD59E" w:rsidR="006F5A07" w:rsidRPr="009922E0" w:rsidRDefault="006F5A07" w:rsidP="006F5A0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71,602</w:t>
            </w:r>
          </w:p>
        </w:tc>
      </w:tr>
      <w:tr w:rsidR="006F5A07" w:rsidRPr="0076445A" w14:paraId="719FB6AC" w14:textId="77777777" w:rsidTr="004D37FA">
        <w:tc>
          <w:tcPr>
            <w:tcW w:w="3827" w:type="dxa"/>
          </w:tcPr>
          <w:p w14:paraId="7452D5DD" w14:textId="69D15B39" w:rsidR="006F5A07" w:rsidRDefault="006F5A07" w:rsidP="006F5A07">
            <w:pPr>
              <w:tabs>
                <w:tab w:val="left" w:pos="318"/>
              </w:tabs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7. </w:t>
            </w:r>
            <w:r w:rsidRPr="00755484">
              <w:rPr>
                <w:rFonts w:ascii="Arial" w:eastAsia="Times New Roman" w:hAnsi="Arial" w:cs="Arial"/>
                <w:sz w:val="20"/>
                <w:szCs w:val="20"/>
              </w:rPr>
              <w:t xml:space="preserve">To receive and approve the Directors’ Remuneration Report for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the </w:t>
            </w:r>
            <w:r w:rsidRPr="00755484">
              <w:rPr>
                <w:rFonts w:ascii="Arial" w:eastAsia="Times New Roman" w:hAnsi="Arial" w:cs="Arial"/>
                <w:sz w:val="20"/>
                <w:szCs w:val="20"/>
              </w:rPr>
              <w:t>year ended 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755484">
              <w:rPr>
                <w:rFonts w:ascii="Arial" w:eastAsia="Times New Roman" w:hAnsi="Arial" w:cs="Arial"/>
                <w:sz w:val="20"/>
                <w:szCs w:val="20"/>
              </w:rPr>
              <w:t>March 202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Pr="0075548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8E37560" w14:textId="1BC9062D" w:rsidR="006F5A07" w:rsidRPr="009922E0" w:rsidRDefault="006F5A07" w:rsidP="006F5A0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58,733,107</w:t>
            </w:r>
          </w:p>
        </w:tc>
        <w:tc>
          <w:tcPr>
            <w:tcW w:w="992" w:type="dxa"/>
          </w:tcPr>
          <w:p w14:paraId="391AA18B" w14:textId="3C0F777A" w:rsidR="006F5A07" w:rsidRPr="009922E0" w:rsidRDefault="006F5A07" w:rsidP="006F5A0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99.28%</w:t>
            </w:r>
          </w:p>
        </w:tc>
        <w:tc>
          <w:tcPr>
            <w:tcW w:w="1243" w:type="dxa"/>
          </w:tcPr>
          <w:p w14:paraId="4DB417C7" w14:textId="20C85495" w:rsidR="006F5A07" w:rsidRPr="009922E0" w:rsidRDefault="006F5A07" w:rsidP="006F5A0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424,787</w:t>
            </w:r>
          </w:p>
        </w:tc>
        <w:tc>
          <w:tcPr>
            <w:tcW w:w="992" w:type="dxa"/>
          </w:tcPr>
          <w:p w14:paraId="110115AC" w14:textId="0AE4E885" w:rsidR="006F5A07" w:rsidRPr="009922E0" w:rsidRDefault="006F5A07" w:rsidP="006F5A0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0.72%</w:t>
            </w:r>
          </w:p>
        </w:tc>
        <w:tc>
          <w:tcPr>
            <w:tcW w:w="1276" w:type="dxa"/>
          </w:tcPr>
          <w:p w14:paraId="71A91BEE" w14:textId="7DC058DF" w:rsidR="006F5A07" w:rsidRPr="009922E0" w:rsidRDefault="006F5A07" w:rsidP="006F5A0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59,157,894</w:t>
            </w:r>
          </w:p>
        </w:tc>
        <w:tc>
          <w:tcPr>
            <w:tcW w:w="1275" w:type="dxa"/>
          </w:tcPr>
          <w:p w14:paraId="7FA17F5B" w14:textId="0E490B24" w:rsidR="006F5A07" w:rsidRPr="009922E0" w:rsidRDefault="006F5A07" w:rsidP="006F5A0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81,118</w:t>
            </w:r>
          </w:p>
        </w:tc>
      </w:tr>
      <w:tr w:rsidR="006F5A07" w:rsidRPr="0076445A" w14:paraId="0BC0026E" w14:textId="77777777" w:rsidTr="002C0B1D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9F8E" w14:textId="443AB05C" w:rsidR="006F5A07" w:rsidRPr="00755484" w:rsidRDefault="006F5A07" w:rsidP="006F5A07">
            <w:pPr>
              <w:tabs>
                <w:tab w:val="left" w:pos="318"/>
              </w:tabs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8. </w:t>
            </w:r>
            <w:r w:rsidRPr="00755484">
              <w:rPr>
                <w:rFonts w:ascii="Arial" w:eastAsia="Times New Roman" w:hAnsi="Arial" w:cs="Arial"/>
                <w:sz w:val="20"/>
                <w:szCs w:val="20"/>
              </w:rPr>
              <w:t xml:space="preserve">To approve the Directors’ Remuneration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Policy</w:t>
            </w:r>
            <w:r w:rsidRPr="0075548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0E03" w14:textId="0D0BDC5D" w:rsidR="006F5A07" w:rsidRPr="009922E0" w:rsidRDefault="006F5A07" w:rsidP="006F5A0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58,659,455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53A5" w14:textId="6D1AE5D8" w:rsidR="006F5A07" w:rsidRPr="009922E0" w:rsidRDefault="006F5A07" w:rsidP="006F5A0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99.18%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B084" w14:textId="7B0FD5A3" w:rsidR="006F5A07" w:rsidRPr="009922E0" w:rsidRDefault="006F5A07" w:rsidP="006F5A0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482,119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8E0C" w14:textId="760A1E97" w:rsidR="006F5A07" w:rsidRPr="009922E0" w:rsidRDefault="006F5A07" w:rsidP="006F5A0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0.82%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30E3" w14:textId="45F32E28" w:rsidR="006F5A07" w:rsidRPr="009922E0" w:rsidRDefault="006F5A07" w:rsidP="006F5A0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59,141,574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35B9" w14:textId="790B3C46" w:rsidR="006F5A07" w:rsidRPr="009922E0" w:rsidRDefault="006F5A07" w:rsidP="006F5A0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97,438</w:t>
            </w:r>
          </w:p>
        </w:tc>
      </w:tr>
      <w:tr w:rsidR="006F5A07" w:rsidRPr="0076445A" w14:paraId="054B32BD" w14:textId="77777777" w:rsidTr="004D37FA">
        <w:tc>
          <w:tcPr>
            <w:tcW w:w="3827" w:type="dxa"/>
          </w:tcPr>
          <w:p w14:paraId="60B60526" w14:textId="6E3919D9" w:rsidR="006F5A07" w:rsidRPr="00755484" w:rsidRDefault="006F5A07" w:rsidP="006F5A07">
            <w:pPr>
              <w:tabs>
                <w:tab w:val="left" w:pos="318"/>
              </w:tabs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9. </w:t>
            </w:r>
            <w:r w:rsidRPr="00755484">
              <w:rPr>
                <w:rFonts w:ascii="Arial" w:eastAsia="Times New Roman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re-</w:t>
            </w:r>
            <w:r w:rsidRPr="00755484">
              <w:rPr>
                <w:rFonts w:ascii="Arial" w:eastAsia="Times New Roman" w:hAnsi="Arial" w:cs="Arial"/>
                <w:sz w:val="20"/>
                <w:szCs w:val="20"/>
              </w:rPr>
              <w:t xml:space="preserve">appoint BDO LLP as Auditor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of</w:t>
            </w:r>
            <w:r w:rsidRPr="00755484">
              <w:rPr>
                <w:rFonts w:ascii="Arial" w:eastAsia="Times New Roman" w:hAnsi="Arial" w:cs="Arial"/>
                <w:sz w:val="20"/>
                <w:szCs w:val="20"/>
              </w:rPr>
              <w:t xml:space="preserve"> Company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1F05CA5" w14:textId="0D9D58E6" w:rsidR="006F5A07" w:rsidRPr="009922E0" w:rsidRDefault="006F5A07" w:rsidP="006F5A0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59,074,959</w:t>
            </w:r>
          </w:p>
        </w:tc>
        <w:tc>
          <w:tcPr>
            <w:tcW w:w="992" w:type="dxa"/>
          </w:tcPr>
          <w:p w14:paraId="3D1EF79D" w14:textId="15885976" w:rsidR="006F5A07" w:rsidRPr="009922E0" w:rsidRDefault="006F5A07" w:rsidP="006F5A0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99.80%</w:t>
            </w:r>
          </w:p>
        </w:tc>
        <w:tc>
          <w:tcPr>
            <w:tcW w:w="1243" w:type="dxa"/>
          </w:tcPr>
          <w:p w14:paraId="680E1B6C" w14:textId="4216BF3C" w:rsidR="006F5A07" w:rsidRPr="009922E0" w:rsidRDefault="006F5A07" w:rsidP="006F5A0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117,442</w:t>
            </w:r>
          </w:p>
        </w:tc>
        <w:tc>
          <w:tcPr>
            <w:tcW w:w="992" w:type="dxa"/>
          </w:tcPr>
          <w:p w14:paraId="003EF2D4" w14:textId="4A542CE1" w:rsidR="006F5A07" w:rsidRPr="009922E0" w:rsidRDefault="006F5A07" w:rsidP="006F5A0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0.20%</w:t>
            </w:r>
          </w:p>
        </w:tc>
        <w:tc>
          <w:tcPr>
            <w:tcW w:w="1276" w:type="dxa"/>
          </w:tcPr>
          <w:p w14:paraId="09F65469" w14:textId="02871418" w:rsidR="006F5A07" w:rsidRPr="009922E0" w:rsidRDefault="006F5A07" w:rsidP="006F5A0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59,192,401</w:t>
            </w:r>
          </w:p>
        </w:tc>
        <w:tc>
          <w:tcPr>
            <w:tcW w:w="1275" w:type="dxa"/>
          </w:tcPr>
          <w:p w14:paraId="4A10E5C2" w14:textId="065434E1" w:rsidR="006F5A07" w:rsidRPr="009922E0" w:rsidRDefault="006F5A07" w:rsidP="006F5A0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46,611</w:t>
            </w:r>
          </w:p>
        </w:tc>
      </w:tr>
      <w:tr w:rsidR="006F5A07" w:rsidRPr="0076445A" w14:paraId="4BC4DFFA" w14:textId="77777777" w:rsidTr="004D37FA">
        <w:tc>
          <w:tcPr>
            <w:tcW w:w="3827" w:type="dxa"/>
          </w:tcPr>
          <w:p w14:paraId="30E63D1A" w14:textId="4290B7B9" w:rsidR="006F5A07" w:rsidRDefault="006F5A07" w:rsidP="006F5A07">
            <w:pPr>
              <w:tabs>
                <w:tab w:val="left" w:pos="318"/>
              </w:tabs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 T</w:t>
            </w:r>
            <w:r w:rsidRPr="00755484">
              <w:rPr>
                <w:rFonts w:ascii="Arial" w:eastAsia="Times New Roman" w:hAnsi="Arial" w:cs="Arial"/>
                <w:sz w:val="20"/>
                <w:szCs w:val="20"/>
              </w:rPr>
              <w:t>o authorise the Audit Committee to determine the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Auditor’s </w:t>
            </w:r>
            <w:r w:rsidRPr="00755484">
              <w:rPr>
                <w:rFonts w:ascii="Arial" w:eastAsia="Times New Roman" w:hAnsi="Arial" w:cs="Arial"/>
                <w:sz w:val="20"/>
                <w:szCs w:val="20"/>
              </w:rPr>
              <w:t>remuneration.</w:t>
            </w:r>
          </w:p>
        </w:tc>
        <w:tc>
          <w:tcPr>
            <w:tcW w:w="1276" w:type="dxa"/>
          </w:tcPr>
          <w:p w14:paraId="0BC2CA04" w14:textId="01A3F296" w:rsidR="006F5A07" w:rsidRPr="009922E0" w:rsidRDefault="006F5A07" w:rsidP="006F5A0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59,155,479</w:t>
            </w:r>
          </w:p>
        </w:tc>
        <w:tc>
          <w:tcPr>
            <w:tcW w:w="992" w:type="dxa"/>
          </w:tcPr>
          <w:p w14:paraId="4ACCBE70" w14:textId="705E5D8B" w:rsidR="006F5A07" w:rsidRPr="009922E0" w:rsidRDefault="006F5A07" w:rsidP="006F5A0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99.95%</w:t>
            </w:r>
          </w:p>
        </w:tc>
        <w:tc>
          <w:tcPr>
            <w:tcW w:w="1243" w:type="dxa"/>
          </w:tcPr>
          <w:p w14:paraId="2BB2B75D" w14:textId="5EFFFAD8" w:rsidR="006F5A07" w:rsidRPr="009922E0" w:rsidRDefault="006F5A07" w:rsidP="006F5A0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28,328</w:t>
            </w:r>
          </w:p>
        </w:tc>
        <w:tc>
          <w:tcPr>
            <w:tcW w:w="992" w:type="dxa"/>
          </w:tcPr>
          <w:p w14:paraId="02313B1D" w14:textId="3C6D92AD" w:rsidR="006F5A07" w:rsidRPr="009922E0" w:rsidRDefault="006F5A07" w:rsidP="006F5A0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0.05%</w:t>
            </w:r>
          </w:p>
        </w:tc>
        <w:tc>
          <w:tcPr>
            <w:tcW w:w="1276" w:type="dxa"/>
          </w:tcPr>
          <w:p w14:paraId="35B57039" w14:textId="7E42B284" w:rsidR="006F5A07" w:rsidRPr="009922E0" w:rsidRDefault="006F5A07" w:rsidP="006F5A0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59,183,807</w:t>
            </w:r>
          </w:p>
        </w:tc>
        <w:tc>
          <w:tcPr>
            <w:tcW w:w="1275" w:type="dxa"/>
          </w:tcPr>
          <w:p w14:paraId="0C9F0664" w14:textId="503D4128" w:rsidR="006F5A07" w:rsidRPr="009922E0" w:rsidRDefault="006F5A07" w:rsidP="006F5A0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55,205</w:t>
            </w:r>
          </w:p>
        </w:tc>
      </w:tr>
      <w:tr w:rsidR="006F5A07" w:rsidRPr="0076445A" w14:paraId="294C5F98" w14:textId="77777777" w:rsidTr="004D37FA">
        <w:tc>
          <w:tcPr>
            <w:tcW w:w="3827" w:type="dxa"/>
          </w:tcPr>
          <w:p w14:paraId="61311C0C" w14:textId="36FF655C" w:rsidR="006F5A07" w:rsidRPr="007A4542" w:rsidRDefault="006F5A07" w:rsidP="006F5A07">
            <w:pPr>
              <w:tabs>
                <w:tab w:val="left" w:pos="318"/>
              </w:tabs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11. </w:t>
            </w:r>
            <w:r w:rsidRPr="007A4542">
              <w:rPr>
                <w:rFonts w:ascii="Arial" w:eastAsia="Times New Roman" w:hAnsi="Arial" w:cs="Arial"/>
                <w:sz w:val="20"/>
                <w:szCs w:val="20"/>
              </w:rPr>
              <w:t>To authorise the Directors t</w:t>
            </w:r>
            <w:r w:rsidRPr="007A4542">
              <w:rPr>
                <w:rFonts w:ascii="Arial" w:hAnsi="Arial" w:cs="Arial"/>
                <w:sz w:val="20"/>
                <w:szCs w:val="20"/>
              </w:rPr>
              <w:t xml:space="preserve">o allot securities in the Company within limitations set out in the Notice of meeting. </w:t>
            </w:r>
          </w:p>
        </w:tc>
        <w:tc>
          <w:tcPr>
            <w:tcW w:w="1276" w:type="dxa"/>
          </w:tcPr>
          <w:p w14:paraId="340DE382" w14:textId="10AB7B0A" w:rsidR="006F5A07" w:rsidRPr="009922E0" w:rsidRDefault="006F5A07" w:rsidP="006F5A0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58,933,288</w:t>
            </w:r>
          </w:p>
        </w:tc>
        <w:tc>
          <w:tcPr>
            <w:tcW w:w="992" w:type="dxa"/>
          </w:tcPr>
          <w:p w14:paraId="13DDCDCB" w14:textId="422B5F0D" w:rsidR="006F5A07" w:rsidRPr="009922E0" w:rsidRDefault="006F5A07" w:rsidP="006F5A0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99.55%</w:t>
            </w:r>
          </w:p>
        </w:tc>
        <w:tc>
          <w:tcPr>
            <w:tcW w:w="1243" w:type="dxa"/>
          </w:tcPr>
          <w:p w14:paraId="3F2C96E0" w14:textId="4AE4790B" w:rsidR="006F5A07" w:rsidRPr="009922E0" w:rsidRDefault="006F5A07" w:rsidP="006F5A0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269,216</w:t>
            </w:r>
          </w:p>
        </w:tc>
        <w:tc>
          <w:tcPr>
            <w:tcW w:w="992" w:type="dxa"/>
          </w:tcPr>
          <w:p w14:paraId="2CA4D6B5" w14:textId="7C451AB2" w:rsidR="006F5A07" w:rsidRPr="009922E0" w:rsidRDefault="006F5A07" w:rsidP="006F5A0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0.45%</w:t>
            </w:r>
          </w:p>
        </w:tc>
        <w:tc>
          <w:tcPr>
            <w:tcW w:w="1276" w:type="dxa"/>
          </w:tcPr>
          <w:p w14:paraId="4ACDB498" w14:textId="7EB5D9D4" w:rsidR="006F5A07" w:rsidRPr="009922E0" w:rsidRDefault="006F5A07" w:rsidP="006F5A0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59,202,504</w:t>
            </w:r>
          </w:p>
        </w:tc>
        <w:tc>
          <w:tcPr>
            <w:tcW w:w="1275" w:type="dxa"/>
          </w:tcPr>
          <w:p w14:paraId="50961910" w14:textId="760CE430" w:rsidR="006F5A07" w:rsidRPr="009922E0" w:rsidRDefault="006F5A07" w:rsidP="006F5A0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36,508</w:t>
            </w:r>
          </w:p>
        </w:tc>
      </w:tr>
      <w:tr w:rsidR="00873170" w:rsidRPr="0076445A" w14:paraId="62C2CFE6" w14:textId="77777777" w:rsidTr="006C5251">
        <w:tc>
          <w:tcPr>
            <w:tcW w:w="3827" w:type="dxa"/>
          </w:tcPr>
          <w:p w14:paraId="5457628A" w14:textId="6330A73A" w:rsidR="00873170" w:rsidRDefault="00873170" w:rsidP="00873170">
            <w:pPr>
              <w:tabs>
                <w:tab w:val="left" w:pos="318"/>
              </w:tabs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55484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 xml:space="preserve">Special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Resolutions</w:t>
            </w:r>
          </w:p>
        </w:tc>
        <w:tc>
          <w:tcPr>
            <w:tcW w:w="1276" w:type="dxa"/>
          </w:tcPr>
          <w:p w14:paraId="376C2040" w14:textId="77777777" w:rsidR="00873170" w:rsidRPr="009922E0" w:rsidRDefault="00873170" w:rsidP="0087317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4A1E021A" w14:textId="77777777" w:rsidR="00873170" w:rsidRPr="009922E0" w:rsidRDefault="00873170" w:rsidP="0087317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43" w:type="dxa"/>
          </w:tcPr>
          <w:p w14:paraId="7C438AE4" w14:textId="77777777" w:rsidR="00873170" w:rsidRPr="009922E0" w:rsidRDefault="00873170" w:rsidP="0087317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463438CD" w14:textId="77777777" w:rsidR="00873170" w:rsidRPr="009922E0" w:rsidRDefault="00873170" w:rsidP="0087317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14:paraId="5C73E092" w14:textId="77777777" w:rsidR="00873170" w:rsidRPr="009922E0" w:rsidRDefault="00873170" w:rsidP="0087317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</w:tcPr>
          <w:p w14:paraId="647B218B" w14:textId="77777777" w:rsidR="00873170" w:rsidRPr="009922E0" w:rsidRDefault="00873170" w:rsidP="0087317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682FC3" w:rsidRPr="0076445A" w14:paraId="298A1236" w14:textId="77777777" w:rsidTr="006C5251">
        <w:tc>
          <w:tcPr>
            <w:tcW w:w="3827" w:type="dxa"/>
          </w:tcPr>
          <w:p w14:paraId="71FC0975" w14:textId="0621349A" w:rsidR="00682FC3" w:rsidRPr="00755484" w:rsidRDefault="00682FC3" w:rsidP="00682FC3">
            <w:pPr>
              <w:tabs>
                <w:tab w:val="left" w:pos="318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12. </w:t>
            </w:r>
            <w:r w:rsidRPr="00755484">
              <w:rPr>
                <w:rFonts w:ascii="Arial" w:hAnsi="Arial" w:cs="Arial"/>
                <w:sz w:val="20"/>
                <w:szCs w:val="20"/>
              </w:rPr>
              <w:t xml:space="preserve">To disapply pre-emption </w:t>
            </w:r>
            <w:r>
              <w:rPr>
                <w:rFonts w:ascii="Arial" w:hAnsi="Arial" w:cs="Arial"/>
                <w:sz w:val="20"/>
                <w:szCs w:val="20"/>
              </w:rPr>
              <w:t xml:space="preserve">rights </w:t>
            </w:r>
            <w:r w:rsidRPr="00755484">
              <w:rPr>
                <w:rFonts w:ascii="Arial" w:hAnsi="Arial" w:cs="Arial"/>
                <w:sz w:val="20"/>
                <w:szCs w:val="20"/>
              </w:rPr>
              <w:t>in relation to the allotment of securities</w:t>
            </w:r>
            <w:r>
              <w:rPr>
                <w:rFonts w:ascii="Arial" w:hAnsi="Arial" w:cs="Arial"/>
                <w:sz w:val="20"/>
                <w:szCs w:val="20"/>
              </w:rPr>
              <w:t xml:space="preserve"> for cash and the sale of shares from treasury within limitations set out in the Notice of meeting</w:t>
            </w:r>
            <w:r w:rsidRPr="0075548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</w:tcPr>
          <w:p w14:paraId="6D03B308" w14:textId="678B01FD" w:rsidR="00682FC3" w:rsidRPr="009922E0" w:rsidRDefault="00C8380D" w:rsidP="00682F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58,520,577</w:t>
            </w:r>
          </w:p>
        </w:tc>
        <w:tc>
          <w:tcPr>
            <w:tcW w:w="992" w:type="dxa"/>
          </w:tcPr>
          <w:p w14:paraId="41F8188A" w14:textId="3CDF8895" w:rsidR="00682FC3" w:rsidRPr="009922E0" w:rsidRDefault="00B525C8" w:rsidP="00682F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98.85%</w:t>
            </w:r>
          </w:p>
        </w:tc>
        <w:tc>
          <w:tcPr>
            <w:tcW w:w="1243" w:type="dxa"/>
          </w:tcPr>
          <w:p w14:paraId="65D24FDB" w14:textId="26CFF415" w:rsidR="00682FC3" w:rsidRPr="009922E0" w:rsidRDefault="002E6CB8" w:rsidP="00682F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683,367</w:t>
            </w:r>
          </w:p>
        </w:tc>
        <w:tc>
          <w:tcPr>
            <w:tcW w:w="992" w:type="dxa"/>
          </w:tcPr>
          <w:p w14:paraId="504E69B6" w14:textId="02193141" w:rsidR="00682FC3" w:rsidRPr="009922E0" w:rsidRDefault="00A9349D" w:rsidP="00682F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1.15%</w:t>
            </w:r>
          </w:p>
        </w:tc>
        <w:tc>
          <w:tcPr>
            <w:tcW w:w="1276" w:type="dxa"/>
          </w:tcPr>
          <w:p w14:paraId="6B3A4D32" w14:textId="65032167" w:rsidR="00682FC3" w:rsidRPr="009922E0" w:rsidRDefault="005D6143" w:rsidP="00682F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59,203,944</w:t>
            </w:r>
          </w:p>
        </w:tc>
        <w:tc>
          <w:tcPr>
            <w:tcW w:w="1275" w:type="dxa"/>
          </w:tcPr>
          <w:p w14:paraId="36B06E73" w14:textId="3D9CB873" w:rsidR="00682FC3" w:rsidRPr="009922E0" w:rsidRDefault="00682FC3" w:rsidP="00682F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35,068</w:t>
            </w:r>
          </w:p>
        </w:tc>
      </w:tr>
      <w:tr w:rsidR="00755D56" w:rsidRPr="0076445A" w14:paraId="701334C7" w14:textId="77777777" w:rsidTr="006C5251">
        <w:tc>
          <w:tcPr>
            <w:tcW w:w="3827" w:type="dxa"/>
          </w:tcPr>
          <w:p w14:paraId="30E972B1" w14:textId="720E3F2F" w:rsidR="00755D56" w:rsidRPr="00755484" w:rsidRDefault="00755D56" w:rsidP="00755D56">
            <w:pPr>
              <w:tabs>
                <w:tab w:val="left" w:pos="318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13. </w:t>
            </w:r>
            <w:r w:rsidRPr="00755484">
              <w:rPr>
                <w:rFonts w:ascii="Arial" w:hAnsi="Arial" w:cs="Arial"/>
                <w:sz w:val="20"/>
                <w:szCs w:val="20"/>
              </w:rPr>
              <w:t>To authorise the Company to make market purchases of Ordinary shares in the Company</w:t>
            </w:r>
            <w:r>
              <w:rPr>
                <w:rFonts w:ascii="Arial" w:hAnsi="Arial" w:cs="Arial"/>
                <w:sz w:val="20"/>
                <w:szCs w:val="20"/>
              </w:rPr>
              <w:t xml:space="preserve"> within limitations set out in the Notice of meeting.</w:t>
            </w:r>
          </w:p>
        </w:tc>
        <w:tc>
          <w:tcPr>
            <w:tcW w:w="1276" w:type="dxa"/>
          </w:tcPr>
          <w:p w14:paraId="06E1B850" w14:textId="15575321" w:rsidR="00755D56" w:rsidRPr="009922E0" w:rsidRDefault="00755D56" w:rsidP="00755D5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59,139,842</w:t>
            </w:r>
          </w:p>
        </w:tc>
        <w:tc>
          <w:tcPr>
            <w:tcW w:w="992" w:type="dxa"/>
          </w:tcPr>
          <w:p w14:paraId="1C687788" w14:textId="3F36052B" w:rsidR="00755D56" w:rsidRPr="009922E0" w:rsidRDefault="00755D56" w:rsidP="00755D5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99.91%</w:t>
            </w:r>
          </w:p>
        </w:tc>
        <w:tc>
          <w:tcPr>
            <w:tcW w:w="1243" w:type="dxa"/>
          </w:tcPr>
          <w:p w14:paraId="6EBE6529" w14:textId="7296744E" w:rsidR="00755D56" w:rsidRPr="009922E0" w:rsidRDefault="00755D56" w:rsidP="00755D5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53,802</w:t>
            </w:r>
          </w:p>
        </w:tc>
        <w:tc>
          <w:tcPr>
            <w:tcW w:w="992" w:type="dxa"/>
          </w:tcPr>
          <w:p w14:paraId="193BBE0C" w14:textId="03F0E57F" w:rsidR="00755D56" w:rsidRPr="009922E0" w:rsidRDefault="00755D56" w:rsidP="00755D5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0.09%</w:t>
            </w:r>
          </w:p>
        </w:tc>
        <w:tc>
          <w:tcPr>
            <w:tcW w:w="1276" w:type="dxa"/>
          </w:tcPr>
          <w:p w14:paraId="23F6986B" w14:textId="4565296E" w:rsidR="00755D56" w:rsidRPr="009922E0" w:rsidRDefault="00755D56" w:rsidP="00755D5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59,193,644</w:t>
            </w:r>
          </w:p>
        </w:tc>
        <w:tc>
          <w:tcPr>
            <w:tcW w:w="1275" w:type="dxa"/>
          </w:tcPr>
          <w:p w14:paraId="46421457" w14:textId="49340B23" w:rsidR="00755D56" w:rsidRPr="009922E0" w:rsidRDefault="00755D56" w:rsidP="00755D5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45,368</w:t>
            </w:r>
          </w:p>
        </w:tc>
      </w:tr>
      <w:tr w:rsidR="00755D56" w:rsidRPr="00AD5EB3" w14:paraId="08988B23" w14:textId="77777777" w:rsidTr="006C5251">
        <w:tc>
          <w:tcPr>
            <w:tcW w:w="3827" w:type="dxa"/>
          </w:tcPr>
          <w:p w14:paraId="2BDCBB11" w14:textId="4BBEDD81" w:rsidR="00755D56" w:rsidRDefault="00755D56" w:rsidP="00755D56">
            <w:pPr>
              <w:tabs>
                <w:tab w:val="left" w:pos="318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14. </w:t>
            </w:r>
            <w:r w:rsidRPr="00755484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o permit</w:t>
            </w:r>
            <w:r w:rsidRPr="00755484">
              <w:rPr>
                <w:rFonts w:ascii="Arial" w:hAnsi="Arial" w:cs="Arial"/>
                <w:sz w:val="20"/>
                <w:szCs w:val="20"/>
              </w:rPr>
              <w:t xml:space="preserve"> the Directors to</w:t>
            </w:r>
            <w:r>
              <w:rPr>
                <w:rFonts w:ascii="Arial" w:hAnsi="Arial" w:cs="Arial"/>
                <w:sz w:val="20"/>
                <w:szCs w:val="20"/>
              </w:rPr>
              <w:t xml:space="preserve"> call</w:t>
            </w:r>
            <w:r w:rsidRPr="00755484">
              <w:rPr>
                <w:rFonts w:ascii="Arial" w:hAnsi="Arial" w:cs="Arial"/>
                <w:sz w:val="20"/>
                <w:szCs w:val="20"/>
              </w:rPr>
              <w:t xml:space="preserve"> General Meetings (excluding the AGM) on not less than 14 clear days’ notice. </w:t>
            </w:r>
          </w:p>
        </w:tc>
        <w:tc>
          <w:tcPr>
            <w:tcW w:w="1276" w:type="dxa"/>
          </w:tcPr>
          <w:p w14:paraId="4E014FEB" w14:textId="26576728" w:rsidR="00755D56" w:rsidRPr="009922E0" w:rsidRDefault="00755D56" w:rsidP="00755D5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58,781,782</w:t>
            </w:r>
          </w:p>
        </w:tc>
        <w:tc>
          <w:tcPr>
            <w:tcW w:w="992" w:type="dxa"/>
          </w:tcPr>
          <w:p w14:paraId="2363D4EC" w14:textId="0D6620A5" w:rsidR="00755D56" w:rsidRPr="009922E0" w:rsidRDefault="00755D56" w:rsidP="00755D5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99.29%</w:t>
            </w:r>
          </w:p>
        </w:tc>
        <w:tc>
          <w:tcPr>
            <w:tcW w:w="1243" w:type="dxa"/>
          </w:tcPr>
          <w:p w14:paraId="47EC2073" w14:textId="3107D19C" w:rsidR="00755D56" w:rsidRPr="009922E0" w:rsidRDefault="00755D56" w:rsidP="00755D5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419,286</w:t>
            </w:r>
          </w:p>
        </w:tc>
        <w:tc>
          <w:tcPr>
            <w:tcW w:w="992" w:type="dxa"/>
          </w:tcPr>
          <w:p w14:paraId="48A5B6E4" w14:textId="74FBB33A" w:rsidR="00755D56" w:rsidRPr="009922E0" w:rsidRDefault="00755D56" w:rsidP="00755D5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0.71%</w:t>
            </w:r>
          </w:p>
        </w:tc>
        <w:tc>
          <w:tcPr>
            <w:tcW w:w="1276" w:type="dxa"/>
          </w:tcPr>
          <w:p w14:paraId="18661DE0" w14:textId="0FF0357F" w:rsidR="00755D56" w:rsidRPr="009922E0" w:rsidRDefault="00755D56" w:rsidP="00755D5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59,201,068</w:t>
            </w:r>
          </w:p>
        </w:tc>
        <w:tc>
          <w:tcPr>
            <w:tcW w:w="1275" w:type="dxa"/>
          </w:tcPr>
          <w:p w14:paraId="2094D412" w14:textId="3CAAA3F7" w:rsidR="00755D56" w:rsidRPr="009922E0" w:rsidRDefault="00755D56" w:rsidP="00755D5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2E0">
              <w:rPr>
                <w:rFonts w:ascii="Arial" w:hAnsi="Arial" w:cs="Arial"/>
                <w:sz w:val="20"/>
                <w:szCs w:val="20"/>
              </w:rPr>
              <w:t>37,944</w:t>
            </w:r>
          </w:p>
        </w:tc>
      </w:tr>
    </w:tbl>
    <w:p w14:paraId="5F1E73F6" w14:textId="77777777" w:rsidR="00DD5A0B" w:rsidRDefault="00DD5A0B" w:rsidP="00D14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5391B0" w14:textId="77777777" w:rsidR="0073113E" w:rsidRPr="00AD3BBB" w:rsidRDefault="0073113E" w:rsidP="00EB70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AD3BBB">
        <w:rPr>
          <w:rFonts w:ascii="Arial" w:eastAsia="Times New Roman" w:hAnsi="Arial" w:cs="Arial"/>
          <w:sz w:val="20"/>
          <w:szCs w:val="20"/>
          <w:lang w:eastAsia="en-GB"/>
        </w:rPr>
        <w:t>Notes:</w:t>
      </w:r>
    </w:p>
    <w:p w14:paraId="5708E74D" w14:textId="77777777" w:rsidR="0073113E" w:rsidRPr="00AD3BBB" w:rsidRDefault="0073113E" w:rsidP="00EB70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B9E5110" w14:textId="77777777" w:rsidR="00CB34F8" w:rsidRPr="00AD3BBB" w:rsidRDefault="00CB34F8" w:rsidP="00EB70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D3BBB">
        <w:rPr>
          <w:rFonts w:ascii="Arial" w:hAnsi="Arial" w:cs="Arial"/>
          <w:sz w:val="20"/>
          <w:szCs w:val="20"/>
        </w:rPr>
        <w:t>A vote Withheld is not a vote in law and is not counted in the calculation of the proportion of votes “For” and “Against” a resolution.</w:t>
      </w:r>
    </w:p>
    <w:p w14:paraId="53988F5B" w14:textId="77777777" w:rsidR="00CB34F8" w:rsidRDefault="00CB34F8" w:rsidP="00EB70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EC066E9" w14:textId="3130D2D6" w:rsidR="00CB34F8" w:rsidRPr="00AD3BBB" w:rsidRDefault="00CB34F8" w:rsidP="00EB70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AD3BBB">
        <w:rPr>
          <w:rFonts w:ascii="Arial" w:eastAsia="Times New Roman" w:hAnsi="Arial" w:cs="Arial"/>
          <w:sz w:val="20"/>
          <w:szCs w:val="20"/>
          <w:lang w:eastAsia="en-GB"/>
        </w:rPr>
        <w:t xml:space="preserve">Any proxy votes </w:t>
      </w:r>
      <w:r w:rsidR="002F2A30">
        <w:rPr>
          <w:rFonts w:ascii="Arial" w:eastAsia="Times New Roman" w:hAnsi="Arial" w:cs="Arial"/>
          <w:sz w:val="20"/>
          <w:szCs w:val="20"/>
          <w:lang w:eastAsia="en-GB"/>
        </w:rPr>
        <w:t>that</w:t>
      </w:r>
      <w:r w:rsidRPr="00AD3BBB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F275E4">
        <w:rPr>
          <w:rFonts w:ascii="Arial" w:eastAsia="Times New Roman" w:hAnsi="Arial" w:cs="Arial"/>
          <w:sz w:val="20"/>
          <w:szCs w:val="20"/>
          <w:lang w:eastAsia="en-GB"/>
        </w:rPr>
        <w:t>we</w:t>
      </w:r>
      <w:r w:rsidRPr="00AD3BBB">
        <w:rPr>
          <w:rFonts w:ascii="Arial" w:eastAsia="Times New Roman" w:hAnsi="Arial" w:cs="Arial"/>
          <w:sz w:val="20"/>
          <w:szCs w:val="20"/>
          <w:lang w:eastAsia="en-GB"/>
        </w:rPr>
        <w:t xml:space="preserve">re at the discretion of the Chairman have been included in the "for" total. </w:t>
      </w:r>
    </w:p>
    <w:p w14:paraId="5638ABBF" w14:textId="77777777" w:rsidR="00CB34F8" w:rsidRDefault="00CB34F8" w:rsidP="00EB70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57219394" w14:textId="494E020B" w:rsidR="00CB34F8" w:rsidRPr="00E3043F" w:rsidRDefault="00CB34F8" w:rsidP="00EB704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3043F">
        <w:rPr>
          <w:rFonts w:ascii="Arial" w:hAnsi="Arial" w:cs="Arial"/>
          <w:sz w:val="20"/>
          <w:szCs w:val="20"/>
        </w:rPr>
        <w:t xml:space="preserve">At the date of the </w:t>
      </w:r>
      <w:r>
        <w:rPr>
          <w:rFonts w:ascii="Arial" w:hAnsi="Arial" w:cs="Arial"/>
          <w:sz w:val="20"/>
          <w:szCs w:val="20"/>
        </w:rPr>
        <w:t xml:space="preserve">Annual </w:t>
      </w:r>
      <w:r w:rsidRPr="00E3043F">
        <w:rPr>
          <w:rFonts w:ascii="Arial" w:hAnsi="Arial" w:cs="Arial"/>
          <w:sz w:val="20"/>
          <w:szCs w:val="20"/>
        </w:rPr>
        <w:t>General Meeting the total number of Ordinary shares of 1p each in issue</w:t>
      </w:r>
      <w:r w:rsidR="00CE5C70">
        <w:rPr>
          <w:rFonts w:ascii="Arial" w:hAnsi="Arial" w:cs="Arial"/>
          <w:sz w:val="20"/>
          <w:szCs w:val="20"/>
        </w:rPr>
        <w:t>, excluding shares held in treasury,</w:t>
      </w:r>
      <w:r w:rsidRPr="00E3043F">
        <w:rPr>
          <w:rFonts w:ascii="Arial" w:hAnsi="Arial" w:cs="Arial"/>
          <w:sz w:val="20"/>
          <w:szCs w:val="20"/>
        </w:rPr>
        <w:t xml:space="preserve"> and the total number of voting rights </w:t>
      </w:r>
      <w:r w:rsidRPr="00093DBE">
        <w:rPr>
          <w:rFonts w:ascii="Arial" w:hAnsi="Arial" w:cs="Arial"/>
          <w:sz w:val="20"/>
          <w:szCs w:val="20"/>
        </w:rPr>
        <w:t>was</w:t>
      </w:r>
      <w:r w:rsidR="001B5810" w:rsidRPr="00093DBE">
        <w:rPr>
          <w:rFonts w:ascii="Arial" w:hAnsi="Arial" w:cs="Arial"/>
          <w:sz w:val="20"/>
          <w:szCs w:val="20"/>
        </w:rPr>
        <w:t xml:space="preserve"> </w:t>
      </w:r>
      <w:r w:rsidR="0017226E" w:rsidRPr="00093DBE">
        <w:rPr>
          <w:rFonts w:ascii="Arial" w:hAnsi="Arial" w:cs="Arial"/>
          <w:sz w:val="20"/>
          <w:szCs w:val="20"/>
        </w:rPr>
        <w:t>167</w:t>
      </w:r>
      <w:r w:rsidR="00837056" w:rsidRPr="00093DBE">
        <w:rPr>
          <w:rFonts w:ascii="Arial" w:hAnsi="Arial" w:cs="Arial"/>
          <w:sz w:val="20"/>
          <w:szCs w:val="20"/>
        </w:rPr>
        <w:t>,</w:t>
      </w:r>
      <w:r w:rsidR="00EA7D09">
        <w:rPr>
          <w:rFonts w:ascii="Arial" w:hAnsi="Arial" w:cs="Arial"/>
          <w:sz w:val="20"/>
          <w:szCs w:val="20"/>
        </w:rPr>
        <w:t>280</w:t>
      </w:r>
      <w:r w:rsidR="00837056" w:rsidRPr="00093DBE">
        <w:rPr>
          <w:rFonts w:ascii="Arial" w:hAnsi="Arial" w:cs="Arial"/>
          <w:sz w:val="20"/>
          <w:szCs w:val="20"/>
        </w:rPr>
        <w:t>,9</w:t>
      </w:r>
      <w:r w:rsidR="00454DB1">
        <w:rPr>
          <w:rFonts w:ascii="Arial" w:hAnsi="Arial" w:cs="Arial"/>
          <w:sz w:val="20"/>
          <w:szCs w:val="20"/>
        </w:rPr>
        <w:t>02</w:t>
      </w:r>
      <w:r w:rsidR="00837056" w:rsidRPr="00093DBE">
        <w:rPr>
          <w:rFonts w:ascii="Arial" w:hAnsi="Arial" w:cs="Arial"/>
          <w:sz w:val="20"/>
          <w:szCs w:val="20"/>
        </w:rPr>
        <w:t>.</w:t>
      </w:r>
    </w:p>
    <w:p w14:paraId="3E2782C3" w14:textId="77777777" w:rsidR="00CB34F8" w:rsidRDefault="00CB34F8" w:rsidP="00EB704B">
      <w:pPr>
        <w:spacing w:after="0" w:line="240" w:lineRule="auto"/>
        <w:rPr>
          <w:rFonts w:ascii="Arial" w:hAnsi="Arial" w:cs="Arial"/>
          <w:color w:val="262626"/>
          <w:sz w:val="20"/>
          <w:szCs w:val="20"/>
        </w:rPr>
      </w:pPr>
    </w:p>
    <w:p w14:paraId="0CD03F32" w14:textId="77777777" w:rsidR="0073113E" w:rsidRDefault="0073113E" w:rsidP="00EB704B">
      <w:pPr>
        <w:spacing w:after="0" w:line="240" w:lineRule="auto"/>
        <w:rPr>
          <w:rFonts w:ascii="Arial" w:hAnsi="Arial" w:cs="Arial"/>
          <w:color w:val="262626"/>
          <w:sz w:val="20"/>
          <w:szCs w:val="20"/>
        </w:rPr>
      </w:pPr>
      <w:r w:rsidRPr="00201D52">
        <w:rPr>
          <w:rFonts w:ascii="Arial" w:hAnsi="Arial" w:cs="Arial"/>
          <w:color w:val="262626"/>
          <w:sz w:val="20"/>
          <w:szCs w:val="20"/>
        </w:rPr>
        <w:t xml:space="preserve">The full text of the resolutions can be found in the Notice of </w:t>
      </w:r>
      <w:r w:rsidR="006A1337" w:rsidRPr="00201D52">
        <w:rPr>
          <w:rFonts w:ascii="Arial" w:hAnsi="Arial" w:cs="Arial"/>
          <w:color w:val="262626"/>
          <w:sz w:val="20"/>
          <w:szCs w:val="20"/>
        </w:rPr>
        <w:t xml:space="preserve">Annual </w:t>
      </w:r>
      <w:r w:rsidRPr="00201D52">
        <w:rPr>
          <w:rFonts w:ascii="Arial" w:hAnsi="Arial" w:cs="Arial"/>
          <w:color w:val="262626"/>
          <w:sz w:val="20"/>
          <w:szCs w:val="20"/>
        </w:rPr>
        <w:t xml:space="preserve">General Meeting, which is available for viewing at the National Storage Mechanism </w:t>
      </w:r>
      <w:hyperlink r:id="rId11" w:anchor="/nsm/nationalstoragemechanism" w:history="1">
        <w:r w:rsidR="000A0F24" w:rsidRPr="00201D52">
          <w:rPr>
            <w:rFonts w:ascii="Arial" w:hAnsi="Arial" w:cs="Arial"/>
            <w:color w:val="262626"/>
            <w:sz w:val="20"/>
            <w:szCs w:val="20"/>
            <w:u w:val="single"/>
          </w:rPr>
          <w:t>https://data.fca.org.uk/#/nsm/nationalstoragemechanism</w:t>
        </w:r>
      </w:hyperlink>
      <w:r w:rsidRPr="00201D52">
        <w:rPr>
          <w:rFonts w:ascii="Arial" w:hAnsi="Arial" w:cs="Arial"/>
          <w:color w:val="262626"/>
          <w:sz w:val="20"/>
          <w:szCs w:val="20"/>
        </w:rPr>
        <w:t xml:space="preserve"> and on the Company’s website,</w:t>
      </w:r>
      <w:r w:rsidR="00D96F83" w:rsidRPr="00201D52">
        <w:rPr>
          <w:rFonts w:ascii="Arial" w:hAnsi="Arial" w:cs="Arial"/>
          <w:color w:val="262626"/>
          <w:sz w:val="20"/>
          <w:szCs w:val="20"/>
        </w:rPr>
        <w:t xml:space="preserve"> </w:t>
      </w:r>
      <w:hyperlink r:id="rId12" w:history="1">
        <w:r w:rsidR="00D96F83" w:rsidRPr="00201D52">
          <w:rPr>
            <w:rStyle w:val="Hyperlink"/>
            <w:rFonts w:ascii="Arial" w:hAnsi="Arial" w:cs="Arial"/>
            <w:color w:val="262626"/>
            <w:sz w:val="20"/>
            <w:szCs w:val="20"/>
          </w:rPr>
          <w:t>www.augmentum.vc</w:t>
        </w:r>
      </w:hyperlink>
      <w:r w:rsidR="00EC2C31" w:rsidRPr="00201D52">
        <w:rPr>
          <w:rFonts w:ascii="Arial" w:hAnsi="Arial" w:cs="Arial"/>
          <w:color w:val="262626"/>
          <w:sz w:val="20"/>
          <w:szCs w:val="20"/>
        </w:rPr>
        <w:t>.</w:t>
      </w:r>
    </w:p>
    <w:p w14:paraId="2C15182A" w14:textId="77777777" w:rsidR="00A1185A" w:rsidRPr="00201D52" w:rsidRDefault="00A1185A" w:rsidP="00EB704B">
      <w:pPr>
        <w:spacing w:after="0" w:line="240" w:lineRule="auto"/>
        <w:rPr>
          <w:rFonts w:ascii="Arial" w:hAnsi="Arial" w:cs="Arial"/>
          <w:color w:val="262626"/>
          <w:sz w:val="20"/>
          <w:szCs w:val="20"/>
        </w:rPr>
      </w:pPr>
    </w:p>
    <w:p w14:paraId="404CC32C" w14:textId="1F3024D8" w:rsidR="0073113E" w:rsidRPr="00604A7B" w:rsidRDefault="0073113E" w:rsidP="00604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62626"/>
          <w:sz w:val="20"/>
          <w:szCs w:val="20"/>
          <w:lang w:eastAsia="en-GB"/>
        </w:rPr>
      </w:pPr>
      <w:r w:rsidRPr="00604A7B">
        <w:rPr>
          <w:rFonts w:ascii="Arial" w:eastAsia="Times New Roman" w:hAnsi="Arial" w:cs="Arial"/>
          <w:color w:val="262626"/>
          <w:sz w:val="20"/>
          <w:szCs w:val="20"/>
          <w:lang w:eastAsia="en-GB"/>
        </w:rPr>
        <w:t xml:space="preserve">In accordance with </w:t>
      </w:r>
      <w:r w:rsidR="00643C1B">
        <w:rPr>
          <w:rFonts w:ascii="Arial" w:eastAsia="Times New Roman" w:hAnsi="Arial" w:cs="Arial"/>
          <w:color w:val="262626"/>
          <w:sz w:val="20"/>
          <w:szCs w:val="20"/>
          <w:lang w:eastAsia="en-GB"/>
        </w:rPr>
        <w:t xml:space="preserve">United Kingdom </w:t>
      </w:r>
      <w:r w:rsidRPr="00604A7B">
        <w:rPr>
          <w:rFonts w:ascii="Arial" w:eastAsia="Times New Roman" w:hAnsi="Arial" w:cs="Arial"/>
          <w:color w:val="262626"/>
          <w:sz w:val="20"/>
          <w:szCs w:val="20"/>
          <w:lang w:eastAsia="en-GB"/>
        </w:rPr>
        <w:t>Listing Rule</w:t>
      </w:r>
      <w:r w:rsidR="004C1079">
        <w:rPr>
          <w:rFonts w:ascii="Arial" w:eastAsia="Times New Roman" w:hAnsi="Arial" w:cs="Arial"/>
          <w:color w:val="262626"/>
          <w:sz w:val="20"/>
          <w:szCs w:val="20"/>
          <w:lang w:eastAsia="en-GB"/>
        </w:rPr>
        <w:t>s</w:t>
      </w:r>
      <w:r w:rsidRPr="00604A7B">
        <w:rPr>
          <w:rFonts w:ascii="Arial" w:eastAsia="Times New Roman" w:hAnsi="Arial" w:cs="Arial"/>
          <w:color w:val="262626"/>
          <w:sz w:val="20"/>
          <w:szCs w:val="20"/>
          <w:lang w:eastAsia="en-GB"/>
        </w:rPr>
        <w:t xml:space="preserve"> </w:t>
      </w:r>
      <w:r w:rsidR="000B2903">
        <w:rPr>
          <w:rFonts w:ascii="Arial" w:eastAsia="Times New Roman" w:hAnsi="Arial" w:cs="Arial"/>
          <w:color w:val="262626"/>
          <w:sz w:val="20"/>
          <w:szCs w:val="20"/>
          <w:lang w:eastAsia="en-GB"/>
        </w:rPr>
        <w:t>6.4.2 and 6.4.3</w:t>
      </w:r>
      <w:r w:rsidRPr="00604A7B">
        <w:rPr>
          <w:rFonts w:ascii="Arial" w:eastAsia="Times New Roman" w:hAnsi="Arial" w:cs="Arial"/>
          <w:color w:val="262626"/>
          <w:sz w:val="20"/>
          <w:szCs w:val="20"/>
          <w:lang w:eastAsia="en-GB"/>
        </w:rPr>
        <w:t xml:space="preserve">, the full text of the special business resolutions passed has been submitted to the National Storage Mechanism and will shortly be available for inspection at: </w:t>
      </w:r>
      <w:hyperlink r:id="rId13" w:anchor="/nsm/nationalstoragemechanism" w:history="1">
        <w:r w:rsidR="00A1185A" w:rsidRPr="00604A7B">
          <w:rPr>
            <w:rFonts w:ascii="Arial" w:hAnsi="Arial" w:cs="Arial"/>
            <w:color w:val="262626"/>
            <w:sz w:val="20"/>
            <w:szCs w:val="20"/>
            <w:u w:val="single"/>
          </w:rPr>
          <w:t>https://data.fca.org.uk/#/nsm/nationalstoragemechanism</w:t>
        </w:r>
      </w:hyperlink>
      <w:r w:rsidRPr="00604A7B">
        <w:rPr>
          <w:rFonts w:ascii="Arial" w:eastAsia="Times New Roman" w:hAnsi="Arial" w:cs="Arial"/>
          <w:color w:val="262626"/>
          <w:sz w:val="20"/>
          <w:szCs w:val="20"/>
          <w:lang w:eastAsia="en-GB"/>
        </w:rPr>
        <w:t>. The special business resolutions will additionally be filed with Companies House.</w:t>
      </w:r>
    </w:p>
    <w:p w14:paraId="5BE84680" w14:textId="5B02E151" w:rsidR="0073113E" w:rsidRDefault="0073113E" w:rsidP="00604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41D66F4" w14:textId="77777777" w:rsidR="00D403A4" w:rsidRDefault="00D403A4" w:rsidP="00604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78E57C55" w14:textId="77777777" w:rsidR="000F4CFF" w:rsidRPr="00BB08F4" w:rsidRDefault="000F4CFF" w:rsidP="00EB704B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en" w:eastAsia="en-GB"/>
        </w:rPr>
      </w:pPr>
      <w:r w:rsidRPr="00BB08F4">
        <w:rPr>
          <w:rFonts w:ascii="Arial" w:eastAsia="Times New Roman" w:hAnsi="Arial" w:cs="Arial"/>
          <w:bCs/>
          <w:sz w:val="20"/>
          <w:szCs w:val="20"/>
          <w:lang w:val="en" w:eastAsia="en-GB"/>
        </w:rPr>
        <w:t>For further information, please contact:</w:t>
      </w:r>
    </w:p>
    <w:p w14:paraId="16DFAEEF" w14:textId="77777777" w:rsidR="000F4CFF" w:rsidRPr="007144D0" w:rsidRDefault="000F4CFF" w:rsidP="000F4CF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" w:eastAsia="en-GB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6062"/>
        <w:gridCol w:w="3289"/>
      </w:tblGrid>
      <w:tr w:rsidR="000F4CFF" w:rsidRPr="007144D0" w14:paraId="3D5301D6" w14:textId="77777777" w:rsidTr="00D84C35">
        <w:trPr>
          <w:trHeight w:val="412"/>
        </w:trPr>
        <w:tc>
          <w:tcPr>
            <w:tcW w:w="6062" w:type="dxa"/>
          </w:tcPr>
          <w:p w14:paraId="1E46C996" w14:textId="77777777" w:rsidR="000F4CFF" w:rsidRPr="00652872" w:rsidRDefault="000F4CFF" w:rsidP="00652872">
            <w:pPr>
              <w:pStyle w:val="HTMLPreformatted"/>
              <w:rPr>
                <w:rFonts w:ascii="Arial" w:hAnsi="Arial" w:cs="Arial"/>
                <w:b/>
                <w:bCs/>
                <w:color w:val="000000"/>
              </w:rPr>
            </w:pPr>
            <w:r w:rsidRPr="00652872">
              <w:rPr>
                <w:rFonts w:ascii="Arial" w:hAnsi="Arial" w:cs="Arial"/>
                <w:b/>
                <w:bCs/>
                <w:color w:val="000000"/>
              </w:rPr>
              <w:t xml:space="preserve">Frostrow </w:t>
            </w:r>
            <w:r w:rsidR="00AD3BBB">
              <w:rPr>
                <w:rFonts w:ascii="Arial" w:hAnsi="Arial" w:cs="Arial"/>
                <w:b/>
                <w:bCs/>
                <w:color w:val="000000"/>
              </w:rPr>
              <w:t>Capital LL</w:t>
            </w:r>
            <w:r w:rsidR="00BB08F4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  <w:p w14:paraId="1CB05344" w14:textId="77777777" w:rsidR="000F4CFF" w:rsidRPr="00C07189" w:rsidRDefault="0038259E" w:rsidP="00FF36FC">
            <w:pPr>
              <w:pStyle w:val="HTMLPreformatted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Paul Griggs</w:t>
            </w:r>
            <w:r w:rsidR="000F4CFF" w:rsidRPr="007144D0">
              <w:rPr>
                <w:rFonts w:ascii="Arial" w:hAnsi="Arial" w:cs="Arial"/>
              </w:rPr>
              <w:t>, Company Secretary</w:t>
            </w:r>
          </w:p>
        </w:tc>
        <w:tc>
          <w:tcPr>
            <w:tcW w:w="3289" w:type="dxa"/>
          </w:tcPr>
          <w:p w14:paraId="33770E07" w14:textId="77777777" w:rsidR="000F4CFF" w:rsidRPr="007144D0" w:rsidRDefault="000F4CFF" w:rsidP="00FF36FC">
            <w:pPr>
              <w:pStyle w:val="HTMLPreformatted"/>
              <w:ind w:right="400"/>
              <w:rPr>
                <w:rFonts w:ascii="Arial" w:hAnsi="Arial" w:cs="Arial"/>
              </w:rPr>
            </w:pPr>
            <w:r w:rsidRPr="007144D0">
              <w:rPr>
                <w:rFonts w:ascii="Arial" w:hAnsi="Arial" w:cs="Arial"/>
              </w:rPr>
              <w:t>+44 (0)20 3170 873</w:t>
            </w:r>
            <w:r w:rsidR="0038259E">
              <w:rPr>
                <w:rFonts w:ascii="Arial" w:hAnsi="Arial" w:cs="Arial"/>
              </w:rPr>
              <w:t>3</w:t>
            </w:r>
          </w:p>
          <w:p w14:paraId="7961F077" w14:textId="77777777" w:rsidR="000F4CFF" w:rsidRPr="007144D0" w:rsidRDefault="000F4CFF" w:rsidP="00FF36FC">
            <w:pPr>
              <w:pStyle w:val="HTMLPreformatted"/>
              <w:rPr>
                <w:rFonts w:ascii="Arial" w:hAnsi="Arial" w:cs="Arial"/>
              </w:rPr>
            </w:pPr>
            <w:hyperlink r:id="rId14" w:history="1">
              <w:r w:rsidRPr="007144D0">
                <w:rPr>
                  <w:rStyle w:val="Hyperlink"/>
                  <w:rFonts w:ascii="Arial" w:hAnsi="Arial" w:cs="Arial"/>
                </w:rPr>
                <w:t>info@frostrow.com</w:t>
              </w:r>
            </w:hyperlink>
          </w:p>
        </w:tc>
      </w:tr>
    </w:tbl>
    <w:p w14:paraId="347A4B48" w14:textId="77777777" w:rsidR="00027C06" w:rsidRPr="007144D0" w:rsidRDefault="00027C06" w:rsidP="00E75887">
      <w:pPr>
        <w:jc w:val="both"/>
        <w:rPr>
          <w:rFonts w:ascii="Arial" w:hAnsi="Arial" w:cs="Arial"/>
          <w:sz w:val="20"/>
          <w:szCs w:val="20"/>
        </w:rPr>
      </w:pPr>
    </w:p>
    <w:sectPr w:rsidR="00027C06" w:rsidRPr="007144D0" w:rsidSect="00051925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38443" w14:textId="77777777" w:rsidR="00AC32A5" w:rsidRDefault="00AC32A5" w:rsidP="00E75887">
      <w:pPr>
        <w:spacing w:after="0" w:line="240" w:lineRule="auto"/>
      </w:pPr>
      <w:r>
        <w:separator/>
      </w:r>
    </w:p>
  </w:endnote>
  <w:endnote w:type="continuationSeparator" w:id="0">
    <w:p w14:paraId="39F09F62" w14:textId="77777777" w:rsidR="00AC32A5" w:rsidRDefault="00AC32A5" w:rsidP="00E75887">
      <w:pPr>
        <w:spacing w:after="0" w:line="240" w:lineRule="auto"/>
      </w:pPr>
      <w:r>
        <w:continuationSeparator/>
      </w:r>
    </w:p>
  </w:endnote>
  <w:endnote w:type="continuationNotice" w:id="1">
    <w:p w14:paraId="4C0CBC05" w14:textId="77777777" w:rsidR="00AC32A5" w:rsidRDefault="00AC32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BE536" w14:textId="77777777" w:rsidR="00AC32A5" w:rsidRDefault="00AC32A5" w:rsidP="00E75887">
      <w:pPr>
        <w:spacing w:after="0" w:line="240" w:lineRule="auto"/>
      </w:pPr>
      <w:r>
        <w:separator/>
      </w:r>
    </w:p>
  </w:footnote>
  <w:footnote w:type="continuationSeparator" w:id="0">
    <w:p w14:paraId="6D49D133" w14:textId="77777777" w:rsidR="00AC32A5" w:rsidRDefault="00AC32A5" w:rsidP="00E75887">
      <w:pPr>
        <w:spacing w:after="0" w:line="240" w:lineRule="auto"/>
      </w:pPr>
      <w:r>
        <w:continuationSeparator/>
      </w:r>
    </w:p>
  </w:footnote>
  <w:footnote w:type="continuationNotice" w:id="1">
    <w:p w14:paraId="3C7F647F" w14:textId="77777777" w:rsidR="00AC32A5" w:rsidRDefault="00AC32A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04239"/>
    <w:multiLevelType w:val="hybridMultilevel"/>
    <w:tmpl w:val="6AACBA2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467190"/>
    <w:multiLevelType w:val="hybridMultilevel"/>
    <w:tmpl w:val="485A2624"/>
    <w:lvl w:ilvl="0" w:tplc="5E72CE4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C1EB0"/>
    <w:multiLevelType w:val="hybridMultilevel"/>
    <w:tmpl w:val="2BDE36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7085B"/>
    <w:multiLevelType w:val="hybridMultilevel"/>
    <w:tmpl w:val="149E7428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212AB"/>
    <w:multiLevelType w:val="hybridMultilevel"/>
    <w:tmpl w:val="ACC6D61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2B051C"/>
    <w:multiLevelType w:val="hybridMultilevel"/>
    <w:tmpl w:val="195C24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EE22C4"/>
    <w:multiLevelType w:val="hybridMultilevel"/>
    <w:tmpl w:val="93BC08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A7018E"/>
    <w:multiLevelType w:val="hybridMultilevel"/>
    <w:tmpl w:val="D22C8124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566500">
    <w:abstractNumId w:val="0"/>
  </w:num>
  <w:num w:numId="2" w16cid:durableId="17481861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5526427">
    <w:abstractNumId w:val="4"/>
  </w:num>
  <w:num w:numId="4" w16cid:durableId="1800342228">
    <w:abstractNumId w:val="5"/>
  </w:num>
  <w:num w:numId="5" w16cid:durableId="343552852">
    <w:abstractNumId w:val="2"/>
  </w:num>
  <w:num w:numId="6" w16cid:durableId="1566136704">
    <w:abstractNumId w:val="3"/>
  </w:num>
  <w:num w:numId="7" w16cid:durableId="1471947037">
    <w:abstractNumId w:val="7"/>
  </w:num>
  <w:num w:numId="8" w16cid:durableId="414936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hideSpellingErrors/>
  <w:hideGrammaticalError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27E"/>
    <w:rsid w:val="000046AB"/>
    <w:rsid w:val="000056C5"/>
    <w:rsid w:val="00005F73"/>
    <w:rsid w:val="00027C06"/>
    <w:rsid w:val="00046CE7"/>
    <w:rsid w:val="00047EF6"/>
    <w:rsid w:val="00051925"/>
    <w:rsid w:val="00054D0A"/>
    <w:rsid w:val="00067ECA"/>
    <w:rsid w:val="000858A3"/>
    <w:rsid w:val="00090091"/>
    <w:rsid w:val="00093DBE"/>
    <w:rsid w:val="000968B3"/>
    <w:rsid w:val="00096ECC"/>
    <w:rsid w:val="00097B88"/>
    <w:rsid w:val="000A0F24"/>
    <w:rsid w:val="000A51F0"/>
    <w:rsid w:val="000B1C26"/>
    <w:rsid w:val="000B2903"/>
    <w:rsid w:val="000B33B1"/>
    <w:rsid w:val="000B65F6"/>
    <w:rsid w:val="000B6EA0"/>
    <w:rsid w:val="000C0A20"/>
    <w:rsid w:val="000C793A"/>
    <w:rsid w:val="000C7C20"/>
    <w:rsid w:val="000E14BF"/>
    <w:rsid w:val="000E5248"/>
    <w:rsid w:val="000E5318"/>
    <w:rsid w:val="000F1343"/>
    <w:rsid w:val="000F3532"/>
    <w:rsid w:val="000F4CFF"/>
    <w:rsid w:val="000F702D"/>
    <w:rsid w:val="00103ED4"/>
    <w:rsid w:val="00124142"/>
    <w:rsid w:val="001327C3"/>
    <w:rsid w:val="00136B37"/>
    <w:rsid w:val="001400B3"/>
    <w:rsid w:val="00144C6B"/>
    <w:rsid w:val="00151F38"/>
    <w:rsid w:val="00154EAF"/>
    <w:rsid w:val="00155CBD"/>
    <w:rsid w:val="00157355"/>
    <w:rsid w:val="001708F4"/>
    <w:rsid w:val="0017226E"/>
    <w:rsid w:val="00184E40"/>
    <w:rsid w:val="00185590"/>
    <w:rsid w:val="00187464"/>
    <w:rsid w:val="00190D77"/>
    <w:rsid w:val="00194D97"/>
    <w:rsid w:val="00195EF4"/>
    <w:rsid w:val="001A6B1D"/>
    <w:rsid w:val="001B54FB"/>
    <w:rsid w:val="001B5810"/>
    <w:rsid w:val="001C047F"/>
    <w:rsid w:val="001C3154"/>
    <w:rsid w:val="001C5583"/>
    <w:rsid w:val="001C5BDE"/>
    <w:rsid w:val="001D116B"/>
    <w:rsid w:val="001D4B61"/>
    <w:rsid w:val="001F0C94"/>
    <w:rsid w:val="001F2CAA"/>
    <w:rsid w:val="0020146D"/>
    <w:rsid w:val="00201D52"/>
    <w:rsid w:val="00204A73"/>
    <w:rsid w:val="00207A0A"/>
    <w:rsid w:val="00217608"/>
    <w:rsid w:val="00221E9B"/>
    <w:rsid w:val="0022218E"/>
    <w:rsid w:val="00226C40"/>
    <w:rsid w:val="002331AF"/>
    <w:rsid w:val="00236AD4"/>
    <w:rsid w:val="00237D9D"/>
    <w:rsid w:val="00240A6C"/>
    <w:rsid w:val="00241C46"/>
    <w:rsid w:val="00242458"/>
    <w:rsid w:val="002538F2"/>
    <w:rsid w:val="002562B4"/>
    <w:rsid w:val="0026128A"/>
    <w:rsid w:val="00262C95"/>
    <w:rsid w:val="00284E96"/>
    <w:rsid w:val="00285755"/>
    <w:rsid w:val="0028640A"/>
    <w:rsid w:val="00287F08"/>
    <w:rsid w:val="00290724"/>
    <w:rsid w:val="002A3355"/>
    <w:rsid w:val="002C0B1D"/>
    <w:rsid w:val="002C12E6"/>
    <w:rsid w:val="002C772E"/>
    <w:rsid w:val="002D26FF"/>
    <w:rsid w:val="002D2F55"/>
    <w:rsid w:val="002D5A44"/>
    <w:rsid w:val="002D6549"/>
    <w:rsid w:val="002D6EC2"/>
    <w:rsid w:val="002E471D"/>
    <w:rsid w:val="002E6CB8"/>
    <w:rsid w:val="002F2A30"/>
    <w:rsid w:val="002F5F5F"/>
    <w:rsid w:val="003133FB"/>
    <w:rsid w:val="00320EC8"/>
    <w:rsid w:val="00330AE8"/>
    <w:rsid w:val="003359F4"/>
    <w:rsid w:val="00351454"/>
    <w:rsid w:val="00354FED"/>
    <w:rsid w:val="00363AD2"/>
    <w:rsid w:val="00370B3E"/>
    <w:rsid w:val="00377097"/>
    <w:rsid w:val="0038259E"/>
    <w:rsid w:val="00382D02"/>
    <w:rsid w:val="0038457D"/>
    <w:rsid w:val="00387190"/>
    <w:rsid w:val="003B65D2"/>
    <w:rsid w:val="003D7F56"/>
    <w:rsid w:val="003E13CB"/>
    <w:rsid w:val="003E5CC1"/>
    <w:rsid w:val="003F43A8"/>
    <w:rsid w:val="00401451"/>
    <w:rsid w:val="0040491A"/>
    <w:rsid w:val="00406D4A"/>
    <w:rsid w:val="00410BBB"/>
    <w:rsid w:val="00414374"/>
    <w:rsid w:val="00416B10"/>
    <w:rsid w:val="00421E8A"/>
    <w:rsid w:val="004228F9"/>
    <w:rsid w:val="00423400"/>
    <w:rsid w:val="00423837"/>
    <w:rsid w:val="00434734"/>
    <w:rsid w:val="0043628E"/>
    <w:rsid w:val="00437733"/>
    <w:rsid w:val="004516A2"/>
    <w:rsid w:val="004529B6"/>
    <w:rsid w:val="00454DB1"/>
    <w:rsid w:val="00455420"/>
    <w:rsid w:val="004567E1"/>
    <w:rsid w:val="00456DE4"/>
    <w:rsid w:val="0049465D"/>
    <w:rsid w:val="004A19E4"/>
    <w:rsid w:val="004A2C0F"/>
    <w:rsid w:val="004A3757"/>
    <w:rsid w:val="004B2A99"/>
    <w:rsid w:val="004B31DC"/>
    <w:rsid w:val="004C1079"/>
    <w:rsid w:val="004C30DE"/>
    <w:rsid w:val="004C464E"/>
    <w:rsid w:val="004F11A6"/>
    <w:rsid w:val="004F52C1"/>
    <w:rsid w:val="0050527B"/>
    <w:rsid w:val="005068DF"/>
    <w:rsid w:val="00512A40"/>
    <w:rsid w:val="005219C4"/>
    <w:rsid w:val="0052410B"/>
    <w:rsid w:val="00537E37"/>
    <w:rsid w:val="00543BF0"/>
    <w:rsid w:val="00545DB9"/>
    <w:rsid w:val="00546818"/>
    <w:rsid w:val="0056037A"/>
    <w:rsid w:val="00562ED2"/>
    <w:rsid w:val="00564EA7"/>
    <w:rsid w:val="00571066"/>
    <w:rsid w:val="005763F9"/>
    <w:rsid w:val="005803FD"/>
    <w:rsid w:val="00580EE3"/>
    <w:rsid w:val="005A32E9"/>
    <w:rsid w:val="005B4A36"/>
    <w:rsid w:val="005C08FE"/>
    <w:rsid w:val="005C09FC"/>
    <w:rsid w:val="005C0F76"/>
    <w:rsid w:val="005C249F"/>
    <w:rsid w:val="005D1CE7"/>
    <w:rsid w:val="005D6143"/>
    <w:rsid w:val="005E49C1"/>
    <w:rsid w:val="005E58A6"/>
    <w:rsid w:val="005F5533"/>
    <w:rsid w:val="00604A7B"/>
    <w:rsid w:val="00607896"/>
    <w:rsid w:val="00611951"/>
    <w:rsid w:val="00614CC8"/>
    <w:rsid w:val="00625F50"/>
    <w:rsid w:val="00632E7F"/>
    <w:rsid w:val="00634A7B"/>
    <w:rsid w:val="00641487"/>
    <w:rsid w:val="00643C1B"/>
    <w:rsid w:val="00652872"/>
    <w:rsid w:val="006631FD"/>
    <w:rsid w:val="00665CC7"/>
    <w:rsid w:val="006674DA"/>
    <w:rsid w:val="00674DBD"/>
    <w:rsid w:val="00676F3D"/>
    <w:rsid w:val="00682FC3"/>
    <w:rsid w:val="00685DA1"/>
    <w:rsid w:val="006922B0"/>
    <w:rsid w:val="00694638"/>
    <w:rsid w:val="00696065"/>
    <w:rsid w:val="006A1337"/>
    <w:rsid w:val="006A6BC0"/>
    <w:rsid w:val="006B1CD6"/>
    <w:rsid w:val="006B767F"/>
    <w:rsid w:val="006C5251"/>
    <w:rsid w:val="006C598D"/>
    <w:rsid w:val="006F2A9E"/>
    <w:rsid w:val="006F3506"/>
    <w:rsid w:val="006F5A07"/>
    <w:rsid w:val="0070600F"/>
    <w:rsid w:val="007136FA"/>
    <w:rsid w:val="007144D0"/>
    <w:rsid w:val="00714ACD"/>
    <w:rsid w:val="0071692F"/>
    <w:rsid w:val="007213AF"/>
    <w:rsid w:val="00725FCF"/>
    <w:rsid w:val="0073113E"/>
    <w:rsid w:val="00742E65"/>
    <w:rsid w:val="00743716"/>
    <w:rsid w:val="00744CEE"/>
    <w:rsid w:val="00745467"/>
    <w:rsid w:val="00750DB4"/>
    <w:rsid w:val="00752B8A"/>
    <w:rsid w:val="00754F20"/>
    <w:rsid w:val="00755484"/>
    <w:rsid w:val="00755D56"/>
    <w:rsid w:val="00756AB6"/>
    <w:rsid w:val="0076445A"/>
    <w:rsid w:val="00776BFB"/>
    <w:rsid w:val="00777F19"/>
    <w:rsid w:val="007831C0"/>
    <w:rsid w:val="007919BA"/>
    <w:rsid w:val="007A4542"/>
    <w:rsid w:val="007A5F06"/>
    <w:rsid w:val="007B2DFB"/>
    <w:rsid w:val="007C1947"/>
    <w:rsid w:val="007C199C"/>
    <w:rsid w:val="007C2C5C"/>
    <w:rsid w:val="007C5D1A"/>
    <w:rsid w:val="007F62C5"/>
    <w:rsid w:val="007F7A14"/>
    <w:rsid w:val="008132C9"/>
    <w:rsid w:val="00820AEA"/>
    <w:rsid w:val="00821999"/>
    <w:rsid w:val="0082323C"/>
    <w:rsid w:val="00832FA6"/>
    <w:rsid w:val="008338C9"/>
    <w:rsid w:val="00834D1A"/>
    <w:rsid w:val="00837056"/>
    <w:rsid w:val="0084116B"/>
    <w:rsid w:val="00846FB0"/>
    <w:rsid w:val="00873170"/>
    <w:rsid w:val="00883E88"/>
    <w:rsid w:val="00890CC1"/>
    <w:rsid w:val="008A52CC"/>
    <w:rsid w:val="008B103C"/>
    <w:rsid w:val="008B4C3C"/>
    <w:rsid w:val="008B607A"/>
    <w:rsid w:val="008B6E38"/>
    <w:rsid w:val="008D7F89"/>
    <w:rsid w:val="008E2B6D"/>
    <w:rsid w:val="008E78E7"/>
    <w:rsid w:val="008F0920"/>
    <w:rsid w:val="008F29A1"/>
    <w:rsid w:val="008F76BB"/>
    <w:rsid w:val="009125ED"/>
    <w:rsid w:val="00917A99"/>
    <w:rsid w:val="00922991"/>
    <w:rsid w:val="00931E80"/>
    <w:rsid w:val="00934741"/>
    <w:rsid w:val="009401D1"/>
    <w:rsid w:val="00941F2C"/>
    <w:rsid w:val="0094404B"/>
    <w:rsid w:val="00950DEB"/>
    <w:rsid w:val="0095371A"/>
    <w:rsid w:val="00955DB0"/>
    <w:rsid w:val="00957DA8"/>
    <w:rsid w:val="0096009A"/>
    <w:rsid w:val="00963BC7"/>
    <w:rsid w:val="00965EB3"/>
    <w:rsid w:val="00971557"/>
    <w:rsid w:val="00980AA5"/>
    <w:rsid w:val="0098101C"/>
    <w:rsid w:val="00982071"/>
    <w:rsid w:val="00982B5F"/>
    <w:rsid w:val="0098459D"/>
    <w:rsid w:val="009922E0"/>
    <w:rsid w:val="00996F23"/>
    <w:rsid w:val="009B2B63"/>
    <w:rsid w:val="009C385C"/>
    <w:rsid w:val="009D0090"/>
    <w:rsid w:val="009D1D26"/>
    <w:rsid w:val="009D2ACC"/>
    <w:rsid w:val="009D524F"/>
    <w:rsid w:val="009F164D"/>
    <w:rsid w:val="009F74FC"/>
    <w:rsid w:val="009F77BC"/>
    <w:rsid w:val="009F7B45"/>
    <w:rsid w:val="00A10897"/>
    <w:rsid w:val="00A10F17"/>
    <w:rsid w:val="00A1185A"/>
    <w:rsid w:val="00A1357D"/>
    <w:rsid w:val="00A17899"/>
    <w:rsid w:val="00A26503"/>
    <w:rsid w:val="00A30345"/>
    <w:rsid w:val="00A32822"/>
    <w:rsid w:val="00A33D19"/>
    <w:rsid w:val="00A44E8B"/>
    <w:rsid w:val="00A44F5F"/>
    <w:rsid w:val="00A51AB4"/>
    <w:rsid w:val="00A51B01"/>
    <w:rsid w:val="00A524E7"/>
    <w:rsid w:val="00A571DE"/>
    <w:rsid w:val="00A6101B"/>
    <w:rsid w:val="00A658E2"/>
    <w:rsid w:val="00A7342E"/>
    <w:rsid w:val="00A75812"/>
    <w:rsid w:val="00A82B78"/>
    <w:rsid w:val="00A87895"/>
    <w:rsid w:val="00A918CD"/>
    <w:rsid w:val="00A9349D"/>
    <w:rsid w:val="00AA7FBA"/>
    <w:rsid w:val="00AB0349"/>
    <w:rsid w:val="00AB0EFE"/>
    <w:rsid w:val="00AB3209"/>
    <w:rsid w:val="00AB4877"/>
    <w:rsid w:val="00AC32A5"/>
    <w:rsid w:val="00AC61D1"/>
    <w:rsid w:val="00AC784D"/>
    <w:rsid w:val="00AD062D"/>
    <w:rsid w:val="00AD3BBB"/>
    <w:rsid w:val="00AD5E74"/>
    <w:rsid w:val="00AD5EB3"/>
    <w:rsid w:val="00AE5EDF"/>
    <w:rsid w:val="00AE6AD4"/>
    <w:rsid w:val="00B0561E"/>
    <w:rsid w:val="00B07E90"/>
    <w:rsid w:val="00B1006A"/>
    <w:rsid w:val="00B1494F"/>
    <w:rsid w:val="00B20C9F"/>
    <w:rsid w:val="00B276DB"/>
    <w:rsid w:val="00B312A8"/>
    <w:rsid w:val="00B525C8"/>
    <w:rsid w:val="00B638D7"/>
    <w:rsid w:val="00B6746D"/>
    <w:rsid w:val="00B72C4A"/>
    <w:rsid w:val="00B739C9"/>
    <w:rsid w:val="00B7545C"/>
    <w:rsid w:val="00B94752"/>
    <w:rsid w:val="00BB08F4"/>
    <w:rsid w:val="00BC1875"/>
    <w:rsid w:val="00BC3F23"/>
    <w:rsid w:val="00BC4341"/>
    <w:rsid w:val="00BC79FE"/>
    <w:rsid w:val="00BC7D94"/>
    <w:rsid w:val="00BD5285"/>
    <w:rsid w:val="00BD5DE4"/>
    <w:rsid w:val="00BD77E1"/>
    <w:rsid w:val="00BE0CAE"/>
    <w:rsid w:val="00BE427E"/>
    <w:rsid w:val="00BE43BC"/>
    <w:rsid w:val="00BE71EC"/>
    <w:rsid w:val="00BF5347"/>
    <w:rsid w:val="00BF54E3"/>
    <w:rsid w:val="00C03B69"/>
    <w:rsid w:val="00C05159"/>
    <w:rsid w:val="00C07189"/>
    <w:rsid w:val="00C10D05"/>
    <w:rsid w:val="00C14CE8"/>
    <w:rsid w:val="00C1789E"/>
    <w:rsid w:val="00C23CF5"/>
    <w:rsid w:val="00C3785B"/>
    <w:rsid w:val="00C414E3"/>
    <w:rsid w:val="00C4624A"/>
    <w:rsid w:val="00C46619"/>
    <w:rsid w:val="00C501D4"/>
    <w:rsid w:val="00C619AD"/>
    <w:rsid w:val="00C70502"/>
    <w:rsid w:val="00C7058D"/>
    <w:rsid w:val="00C73D7E"/>
    <w:rsid w:val="00C80866"/>
    <w:rsid w:val="00C8380D"/>
    <w:rsid w:val="00C84561"/>
    <w:rsid w:val="00C86BFC"/>
    <w:rsid w:val="00C90B6F"/>
    <w:rsid w:val="00C940F1"/>
    <w:rsid w:val="00C97779"/>
    <w:rsid w:val="00CA1ED5"/>
    <w:rsid w:val="00CB113A"/>
    <w:rsid w:val="00CB34F8"/>
    <w:rsid w:val="00CC3B8D"/>
    <w:rsid w:val="00CC6BAD"/>
    <w:rsid w:val="00CD17DF"/>
    <w:rsid w:val="00CE3FB7"/>
    <w:rsid w:val="00CE5C70"/>
    <w:rsid w:val="00CE6795"/>
    <w:rsid w:val="00CE7C5C"/>
    <w:rsid w:val="00D1306B"/>
    <w:rsid w:val="00D14168"/>
    <w:rsid w:val="00D21B06"/>
    <w:rsid w:val="00D2513F"/>
    <w:rsid w:val="00D3188C"/>
    <w:rsid w:val="00D31BEB"/>
    <w:rsid w:val="00D31F7B"/>
    <w:rsid w:val="00D403A4"/>
    <w:rsid w:val="00D47B2F"/>
    <w:rsid w:val="00D50886"/>
    <w:rsid w:val="00D55493"/>
    <w:rsid w:val="00D67354"/>
    <w:rsid w:val="00D813D5"/>
    <w:rsid w:val="00D84777"/>
    <w:rsid w:val="00D84C35"/>
    <w:rsid w:val="00D9003F"/>
    <w:rsid w:val="00D9053D"/>
    <w:rsid w:val="00D96F83"/>
    <w:rsid w:val="00DB0A81"/>
    <w:rsid w:val="00DB30E1"/>
    <w:rsid w:val="00DC4E37"/>
    <w:rsid w:val="00DD1FD1"/>
    <w:rsid w:val="00DD5A0B"/>
    <w:rsid w:val="00DE0616"/>
    <w:rsid w:val="00DE18EC"/>
    <w:rsid w:val="00DF1055"/>
    <w:rsid w:val="00DF2768"/>
    <w:rsid w:val="00DF55BA"/>
    <w:rsid w:val="00DF5782"/>
    <w:rsid w:val="00E01D74"/>
    <w:rsid w:val="00E07717"/>
    <w:rsid w:val="00E13706"/>
    <w:rsid w:val="00E2333C"/>
    <w:rsid w:val="00E23DCE"/>
    <w:rsid w:val="00E41531"/>
    <w:rsid w:val="00E42321"/>
    <w:rsid w:val="00E61081"/>
    <w:rsid w:val="00E637F2"/>
    <w:rsid w:val="00E63A99"/>
    <w:rsid w:val="00E64958"/>
    <w:rsid w:val="00E75887"/>
    <w:rsid w:val="00E861C4"/>
    <w:rsid w:val="00EA7D09"/>
    <w:rsid w:val="00EB5285"/>
    <w:rsid w:val="00EB704B"/>
    <w:rsid w:val="00EC2C31"/>
    <w:rsid w:val="00EC48E5"/>
    <w:rsid w:val="00EC4A6A"/>
    <w:rsid w:val="00ED25D4"/>
    <w:rsid w:val="00ED5DF2"/>
    <w:rsid w:val="00EE19D7"/>
    <w:rsid w:val="00EE6379"/>
    <w:rsid w:val="00EF366F"/>
    <w:rsid w:val="00F16318"/>
    <w:rsid w:val="00F206AF"/>
    <w:rsid w:val="00F275E4"/>
    <w:rsid w:val="00F27D46"/>
    <w:rsid w:val="00F4012B"/>
    <w:rsid w:val="00F57164"/>
    <w:rsid w:val="00F8472F"/>
    <w:rsid w:val="00F87B8A"/>
    <w:rsid w:val="00F911D7"/>
    <w:rsid w:val="00FA3FA8"/>
    <w:rsid w:val="00FB0D9F"/>
    <w:rsid w:val="00FB3587"/>
    <w:rsid w:val="00FE076D"/>
    <w:rsid w:val="00FE1559"/>
    <w:rsid w:val="00FE4204"/>
    <w:rsid w:val="00FF1625"/>
    <w:rsid w:val="00FF36FC"/>
    <w:rsid w:val="00FF3995"/>
    <w:rsid w:val="00FF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0051E"/>
  <w15:chartTrackingRefBased/>
  <w15:docId w15:val="{297CB84B-1A99-4E6C-8168-10D407D8E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C0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42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rsid w:val="008132C9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val="en-US" w:eastAsia="ja-JP"/>
    </w:rPr>
  </w:style>
  <w:style w:type="character" w:styleId="Hyperlink">
    <w:name w:val="Hyperlink"/>
    <w:rsid w:val="008132C9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17899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character" w:customStyle="1" w:styleId="TitleChar">
    <w:name w:val="Title Char"/>
    <w:link w:val="Title"/>
    <w:rsid w:val="00A17899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C5BDE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uiPriority w:val="99"/>
    <w:semiHidden/>
    <w:unhideWhenUsed/>
    <w:rsid w:val="00D96F83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F4C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link w:val="HTMLPreformatted"/>
    <w:uiPriority w:val="99"/>
    <w:rsid w:val="000F4CFF"/>
    <w:rPr>
      <w:rFonts w:ascii="Courier New" w:eastAsia="Times New Roman" w:hAnsi="Courier New" w:cs="Courier New"/>
      <w:lang w:eastAsia="zh-CN"/>
    </w:rPr>
  </w:style>
  <w:style w:type="paragraph" w:styleId="Revision">
    <w:name w:val="Revision"/>
    <w:hidden/>
    <w:uiPriority w:val="99"/>
    <w:semiHidden/>
    <w:rsid w:val="00A918CD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7588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7588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7588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75887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758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588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7588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588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75887"/>
    <w:rPr>
      <w:b/>
      <w:bCs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D14168"/>
    <w:pPr>
      <w:autoSpaceDE w:val="0"/>
      <w:autoSpaceDN w:val="0"/>
      <w:adjustRightInd w:val="0"/>
      <w:spacing w:after="0" w:line="221" w:lineRule="exact"/>
      <w:ind w:left="39"/>
    </w:pPr>
    <w:rPr>
      <w:rFonts w:cs="Calibri"/>
      <w:lang w:eastAsia="en-GB"/>
    </w:rPr>
  </w:style>
  <w:style w:type="character" w:customStyle="1" w:styleId="BodyTextChar">
    <w:name w:val="Body Text Char"/>
    <w:link w:val="BodyText"/>
    <w:uiPriority w:val="1"/>
    <w:rsid w:val="00D14168"/>
    <w:rPr>
      <w:rFonts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7A4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0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959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2082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4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ata.fca.org.uk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ugmentum.vc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ata.fca.org.uk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frostro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08E4CB3F2D64A969B0BEBB465AE60" ma:contentTypeVersion="20" ma:contentTypeDescription="Create a new document." ma:contentTypeScope="" ma:versionID="bfd4bc650348c5498b0110097a51fe81">
  <xsd:schema xmlns:xsd="http://www.w3.org/2001/XMLSchema" xmlns:xs="http://www.w3.org/2001/XMLSchema" xmlns:p="http://schemas.microsoft.com/office/2006/metadata/properties" xmlns:ns2="23068299-30e2-4bc4-9fa5-e8c5df095c6c" xmlns:ns3="d8179ec2-bdb3-4297-bc8c-e7854112759c" targetNamespace="http://schemas.microsoft.com/office/2006/metadata/properties" ma:root="true" ma:fieldsID="587e3c8796665ff12de6402d9b676d5e" ns2:_="" ns3:_="">
    <xsd:import namespace="23068299-30e2-4bc4-9fa5-e8c5df095c6c"/>
    <xsd:import namespace="d8179ec2-bdb3-4297-bc8c-e7854112759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68299-30e2-4bc4-9fa5-e8c5df095c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49b944-866e-4519-93a2-aa8a33f45776}" ma:internalName="TaxCatchAll" ma:showField="CatchAllData" ma:web="23068299-30e2-4bc4-9fa5-e8c5df095c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79ec2-bdb3-4297-bc8c-e785411275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1cb98ee-393e-4683-ab07-ddbef0c8c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179ec2-bdb3-4297-bc8c-e7854112759c">
      <Terms xmlns="http://schemas.microsoft.com/office/infopath/2007/PartnerControls"/>
    </lcf76f155ced4ddcb4097134ff3c332f>
    <TaxCatchAll xmlns="23068299-30e2-4bc4-9fa5-e8c5df095c6c" xsi:nil="true"/>
    <_Flow_SignoffStatus xmlns="d8179ec2-bdb3-4297-bc8c-e7854112759c" xsi:nil="true"/>
  </documentManagement>
</p:properties>
</file>

<file path=customXml/itemProps1.xml><?xml version="1.0" encoding="utf-8"?>
<ds:datastoreItem xmlns:ds="http://schemas.openxmlformats.org/officeDocument/2006/customXml" ds:itemID="{E320D02F-EE0E-488A-B169-AB49C03E9E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C599A4-46E8-4473-956D-95C27391DE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E65267-062A-4B22-9E07-4AD96FE221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068299-30e2-4bc4-9fa5-e8c5df095c6c"/>
    <ds:schemaRef ds:uri="d8179ec2-bdb3-4297-bc8c-e785411275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1F7C27-FF33-47CC-9480-D41A847CDFA9}">
  <ds:schemaRefs>
    <ds:schemaRef ds:uri="http://schemas.microsoft.com/office/2006/metadata/properties"/>
    <ds:schemaRef ds:uri="http://schemas.microsoft.com/office/infopath/2007/PartnerControls"/>
    <ds:schemaRef ds:uri="d8179ec2-bdb3-4297-bc8c-e7854112759c"/>
    <ds:schemaRef ds:uri="23068299-30e2-4bc4-9fa5-e8c5df095c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Winterflood Securities ltd</Company>
  <LinksUpToDate>false</LinksUpToDate>
  <CharactersWithSpaces>3769</CharactersWithSpaces>
  <SharedDoc>false</SharedDoc>
  <HLinks>
    <vt:vector size="24" baseType="variant">
      <vt:variant>
        <vt:i4>2555928</vt:i4>
      </vt:variant>
      <vt:variant>
        <vt:i4>9</vt:i4>
      </vt:variant>
      <vt:variant>
        <vt:i4>0</vt:i4>
      </vt:variant>
      <vt:variant>
        <vt:i4>5</vt:i4>
      </vt:variant>
      <vt:variant>
        <vt:lpwstr>mailto:info@frostrow.com</vt:lpwstr>
      </vt:variant>
      <vt:variant>
        <vt:lpwstr/>
      </vt:variant>
      <vt:variant>
        <vt:i4>5963802</vt:i4>
      </vt:variant>
      <vt:variant>
        <vt:i4>6</vt:i4>
      </vt:variant>
      <vt:variant>
        <vt:i4>0</vt:i4>
      </vt:variant>
      <vt:variant>
        <vt:i4>5</vt:i4>
      </vt:variant>
      <vt:variant>
        <vt:lpwstr>https://data.fca.org.uk/</vt:lpwstr>
      </vt:variant>
      <vt:variant>
        <vt:lpwstr>/nsm/nationalstoragemechanism</vt:lpwstr>
      </vt:variant>
      <vt:variant>
        <vt:i4>524318</vt:i4>
      </vt:variant>
      <vt:variant>
        <vt:i4>3</vt:i4>
      </vt:variant>
      <vt:variant>
        <vt:i4>0</vt:i4>
      </vt:variant>
      <vt:variant>
        <vt:i4>5</vt:i4>
      </vt:variant>
      <vt:variant>
        <vt:lpwstr>http://www.augmentum.vc/</vt:lpwstr>
      </vt:variant>
      <vt:variant>
        <vt:lpwstr/>
      </vt:variant>
      <vt:variant>
        <vt:i4>5963802</vt:i4>
      </vt:variant>
      <vt:variant>
        <vt:i4>0</vt:i4>
      </vt:variant>
      <vt:variant>
        <vt:i4>0</vt:i4>
      </vt:variant>
      <vt:variant>
        <vt:i4>5</vt:i4>
      </vt:variant>
      <vt:variant>
        <vt:lpwstr>https://data.fca.org.uk/</vt:lpwstr>
      </vt:variant>
      <vt:variant>
        <vt:lpwstr>/nsm/nationalstoragemechanism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robert.peel</dc:creator>
  <cp:keywords/>
  <dc:description/>
  <cp:lastModifiedBy>Georgie Hazell Kivell</cp:lastModifiedBy>
  <cp:revision>2</cp:revision>
  <cp:lastPrinted>2025-09-16T09:44:00Z</cp:lastPrinted>
  <dcterms:created xsi:type="dcterms:W3CDTF">2025-09-17T12:37:00Z</dcterms:created>
  <dcterms:modified xsi:type="dcterms:W3CDTF">2025-09-17T12:37:00Z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0x010100DD308E4CB3F2D64A969B0BEBB465AE60</vt:lpwstr>
  </property>
</Properties>
</file>